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2A65E">
      <w:pPr>
        <w:spacing w:line="360" w:lineRule="auto"/>
        <w:ind w:firstLine="602"/>
        <w:jc w:val="center"/>
        <w:rPr>
          <w:rFonts w:hint="eastAsia" w:ascii="Times New Roman" w:hAnsi="Times New Roman" w:eastAsia="仿宋" w:cs="Times New Roman"/>
          <w:b/>
          <w:bCs/>
          <w:color w:val="000000"/>
          <w:kern w:val="24"/>
          <w:sz w:val="30"/>
          <w:szCs w:val="30"/>
          <w:lang w:eastAsia="zh-CN"/>
        </w:rPr>
      </w:pPr>
      <w:r>
        <w:rPr>
          <w:rFonts w:hint="eastAsia" w:ascii="Times New Roman" w:hAnsi="Times New Roman" w:eastAsia="仿宋" w:cs="Times New Roman"/>
          <w:b/>
          <w:bCs/>
          <w:color w:val="000000"/>
          <w:kern w:val="24"/>
          <w:sz w:val="30"/>
          <w:szCs w:val="30"/>
          <w:lang w:eastAsia="zh-CN"/>
        </w:rPr>
        <w:drawing>
          <wp:inline distT="0" distB="0" distL="114300" distR="114300">
            <wp:extent cx="5250815" cy="1571625"/>
            <wp:effectExtent l="0" t="0" r="6985" b="9525"/>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5"/>
                    <a:stretch>
                      <a:fillRect/>
                    </a:stretch>
                  </pic:blipFill>
                  <pic:spPr>
                    <a:xfrm>
                      <a:off x="0" y="0"/>
                      <a:ext cx="5250815" cy="1571625"/>
                    </a:xfrm>
                    <a:prstGeom prst="rect">
                      <a:avLst/>
                    </a:prstGeom>
                  </pic:spPr>
                </pic:pic>
              </a:graphicData>
            </a:graphic>
          </wp:inline>
        </w:drawing>
      </w:r>
    </w:p>
    <w:p w14:paraId="09D12968">
      <w:pPr>
        <w:spacing w:line="360" w:lineRule="auto"/>
        <w:jc w:val="left"/>
        <w:rPr>
          <w:rFonts w:ascii="Times New Roman" w:hAnsi="Times New Roman" w:eastAsia="仿宋" w:cs="Times New Roman"/>
          <w:b/>
          <w:bCs/>
          <w:color w:val="000000"/>
          <w:kern w:val="24"/>
          <w:sz w:val="30"/>
          <w:szCs w:val="30"/>
        </w:rPr>
      </w:pPr>
    </w:p>
    <w:p w14:paraId="5D5B5B09">
      <w:pPr>
        <w:spacing w:line="360" w:lineRule="auto"/>
        <w:jc w:val="left"/>
        <w:rPr>
          <w:rFonts w:ascii="Times New Roman" w:hAnsi="Times New Roman" w:eastAsia="仿宋" w:cs="Times New Roman"/>
          <w:b/>
          <w:bCs/>
          <w:color w:val="000000"/>
          <w:kern w:val="24"/>
          <w:sz w:val="30"/>
          <w:szCs w:val="30"/>
        </w:rPr>
      </w:pPr>
    </w:p>
    <w:p w14:paraId="14C05FB5">
      <w:pPr>
        <w:spacing w:line="360" w:lineRule="auto"/>
        <w:jc w:val="center"/>
        <w:rPr>
          <w:rFonts w:ascii="Times New Roman" w:hAnsi="Times New Roman" w:eastAsia="黑体" w:cs="Times New Roman"/>
          <w:b/>
          <w:bCs/>
          <w:color w:val="000000"/>
          <w:kern w:val="24"/>
          <w:sz w:val="48"/>
          <w:szCs w:val="48"/>
        </w:rPr>
      </w:pPr>
      <w:r>
        <w:rPr>
          <w:rFonts w:ascii="Times New Roman" w:hAnsi="Times New Roman" w:eastAsia="黑体" w:cs="Times New Roman"/>
          <w:b/>
          <w:bCs/>
          <w:kern w:val="24"/>
          <w:sz w:val="48"/>
          <w:szCs w:val="48"/>
        </w:rPr>
        <w:t>202</w:t>
      </w:r>
      <w:r>
        <w:rPr>
          <w:rFonts w:hint="eastAsia" w:ascii="Times New Roman" w:hAnsi="Times New Roman" w:eastAsia="黑体" w:cs="Times New Roman"/>
          <w:b/>
          <w:bCs/>
          <w:kern w:val="24"/>
          <w:sz w:val="48"/>
          <w:szCs w:val="48"/>
          <w:lang w:val="en-US" w:eastAsia="zh-CN"/>
        </w:rPr>
        <w:t>4</w:t>
      </w:r>
      <w:r>
        <w:rPr>
          <w:rFonts w:ascii="Times New Roman" w:hAnsi="Times New Roman" w:eastAsia="黑体" w:cs="Times New Roman"/>
          <w:b/>
          <w:bCs/>
          <w:color w:val="000000"/>
          <w:kern w:val="24"/>
          <w:sz w:val="48"/>
          <w:szCs w:val="48"/>
        </w:rPr>
        <w:t>年度企业社会责任报告</w:t>
      </w:r>
    </w:p>
    <w:p w14:paraId="33246AC3">
      <w:pPr>
        <w:spacing w:line="360" w:lineRule="auto"/>
        <w:jc w:val="center"/>
        <w:rPr>
          <w:rFonts w:ascii="Times New Roman" w:hAnsi="Times New Roman" w:eastAsia="黑体" w:cs="Times New Roman"/>
          <w:b/>
          <w:bCs/>
          <w:color w:val="000000"/>
          <w:kern w:val="24"/>
          <w:sz w:val="44"/>
          <w:szCs w:val="44"/>
        </w:rPr>
      </w:pPr>
    </w:p>
    <w:p w14:paraId="5568263D">
      <w:pPr>
        <w:spacing w:line="360" w:lineRule="auto"/>
        <w:jc w:val="center"/>
        <w:rPr>
          <w:rFonts w:ascii="Times New Roman" w:hAnsi="Times New Roman" w:eastAsia="黑体" w:cs="Times New Roman"/>
          <w:b/>
          <w:bCs/>
          <w:color w:val="000000"/>
          <w:kern w:val="24"/>
          <w:sz w:val="44"/>
          <w:szCs w:val="44"/>
        </w:rPr>
      </w:pPr>
    </w:p>
    <w:p w14:paraId="178FDA50">
      <w:pPr>
        <w:spacing w:line="360" w:lineRule="auto"/>
        <w:jc w:val="center"/>
        <w:rPr>
          <w:rFonts w:ascii="Times New Roman" w:hAnsi="Times New Roman" w:eastAsia="黑体" w:cs="Times New Roman"/>
          <w:b/>
          <w:bCs/>
          <w:color w:val="000000"/>
          <w:kern w:val="24"/>
          <w:sz w:val="44"/>
          <w:szCs w:val="44"/>
        </w:rPr>
      </w:pPr>
      <w:r>
        <w:rPr>
          <w:rStyle w:val="14"/>
        </w:rPr>
        <w:drawing>
          <wp:inline distT="0" distB="0" distL="114300" distR="114300">
            <wp:extent cx="5749290" cy="2936240"/>
            <wp:effectExtent l="0" t="0" r="3810" b="16510"/>
            <wp:docPr id="3" name="图片 3" descr="宝胜科技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宝胜科技城"/>
                    <pic:cNvPicPr>
                      <a:picLocks noChangeAspect="1"/>
                    </pic:cNvPicPr>
                  </pic:nvPicPr>
                  <pic:blipFill>
                    <a:blip r:embed="rId6"/>
                    <a:stretch>
                      <a:fillRect/>
                    </a:stretch>
                  </pic:blipFill>
                  <pic:spPr>
                    <a:xfrm>
                      <a:off x="0" y="0"/>
                      <a:ext cx="5749290" cy="2936240"/>
                    </a:xfrm>
                    <a:prstGeom prst="rect">
                      <a:avLst/>
                    </a:prstGeom>
                  </pic:spPr>
                </pic:pic>
              </a:graphicData>
            </a:graphic>
          </wp:inline>
        </w:drawing>
      </w:r>
    </w:p>
    <w:p w14:paraId="04B6F4F9">
      <w:pPr>
        <w:spacing w:line="360" w:lineRule="auto"/>
        <w:jc w:val="center"/>
        <w:rPr>
          <w:rFonts w:ascii="Times New Roman" w:hAnsi="Times New Roman" w:eastAsia="黑体" w:cs="Times New Roman"/>
          <w:b/>
          <w:bCs/>
          <w:color w:val="000000"/>
          <w:kern w:val="24"/>
          <w:sz w:val="44"/>
          <w:szCs w:val="44"/>
        </w:rPr>
      </w:pPr>
    </w:p>
    <w:p w14:paraId="79E0B9FD">
      <w:pPr>
        <w:spacing w:line="360" w:lineRule="auto"/>
        <w:jc w:val="center"/>
        <w:rPr>
          <w:rFonts w:ascii="Times New Roman" w:hAnsi="Times New Roman" w:eastAsia="黑体" w:cs="Times New Roman"/>
          <w:b/>
          <w:bCs/>
          <w:color w:val="000000"/>
          <w:kern w:val="24"/>
          <w:sz w:val="44"/>
          <w:szCs w:val="44"/>
        </w:rPr>
      </w:pPr>
    </w:p>
    <w:p w14:paraId="36CC0AAC">
      <w:pPr>
        <w:spacing w:line="360" w:lineRule="auto"/>
        <w:jc w:val="center"/>
        <w:rPr>
          <w:rFonts w:hint="eastAsia" w:ascii="Times New Roman" w:hAnsi="Times New Roman" w:eastAsia="黑体" w:cs="Times New Roman"/>
          <w:b/>
          <w:bCs/>
          <w:color w:val="000000"/>
          <w:kern w:val="24"/>
          <w:sz w:val="44"/>
          <w:szCs w:val="44"/>
        </w:rPr>
      </w:pPr>
    </w:p>
    <w:p w14:paraId="3D4C0E54">
      <w:pPr>
        <w:spacing w:line="720" w:lineRule="auto"/>
        <w:jc w:val="center"/>
        <w:rPr>
          <w:rFonts w:ascii="Times New Roman" w:hAnsi="Times New Roman" w:eastAsia="黑体" w:cs="Times New Roman"/>
          <w:bCs/>
          <w:color w:val="000000"/>
          <w:kern w:val="24"/>
          <w:sz w:val="48"/>
          <w:szCs w:val="48"/>
        </w:rPr>
      </w:pPr>
      <w:r>
        <w:rPr>
          <w:rFonts w:hint="eastAsia" w:ascii="Times New Roman" w:hAnsi="Times New Roman" w:eastAsia="黑体" w:cs="Times New Roman"/>
          <w:bCs/>
          <w:color w:val="000000"/>
          <w:kern w:val="24"/>
          <w:sz w:val="48"/>
          <w:szCs w:val="48"/>
          <w:lang w:val="en-US" w:eastAsia="zh-CN"/>
        </w:rPr>
        <w:t>江苏宝胜精密导体</w:t>
      </w:r>
      <w:r>
        <w:rPr>
          <w:rFonts w:ascii="Times New Roman" w:hAnsi="Times New Roman" w:eastAsia="黑体" w:cs="Times New Roman"/>
          <w:bCs/>
          <w:color w:val="000000"/>
          <w:kern w:val="24"/>
          <w:sz w:val="48"/>
          <w:szCs w:val="48"/>
        </w:rPr>
        <w:t>有限公司</w:t>
      </w:r>
    </w:p>
    <w:p w14:paraId="29CE8A41">
      <w:pPr>
        <w:spacing w:line="720" w:lineRule="auto"/>
        <w:jc w:val="center"/>
        <w:rPr>
          <w:rFonts w:ascii="Times New Roman" w:hAnsi="Times New Roman" w:eastAsia="黑体" w:cs="Times New Roman"/>
          <w:bCs/>
          <w:color w:val="000000"/>
          <w:kern w:val="24"/>
          <w:sz w:val="48"/>
          <w:szCs w:val="48"/>
        </w:rPr>
      </w:pPr>
      <w:r>
        <w:rPr>
          <w:rFonts w:ascii="Times New Roman" w:hAnsi="Times New Roman" w:eastAsia="黑体" w:cs="Times New Roman"/>
          <w:bCs/>
          <w:color w:val="000000"/>
          <w:kern w:val="24"/>
          <w:sz w:val="48"/>
          <w:szCs w:val="48"/>
        </w:rPr>
        <w:t>二零</w:t>
      </w:r>
      <w:r>
        <w:rPr>
          <w:rFonts w:hint="eastAsia" w:ascii="Times New Roman" w:hAnsi="Times New Roman" w:eastAsia="黑体" w:cs="Times New Roman"/>
          <w:bCs/>
          <w:color w:val="000000"/>
          <w:kern w:val="24"/>
          <w:sz w:val="48"/>
          <w:szCs w:val="48"/>
        </w:rPr>
        <w:t>二</w:t>
      </w:r>
      <w:r>
        <w:rPr>
          <w:rFonts w:hint="eastAsia" w:ascii="Times New Roman" w:hAnsi="Times New Roman" w:eastAsia="黑体" w:cs="Times New Roman"/>
          <w:bCs/>
          <w:color w:val="000000"/>
          <w:kern w:val="24"/>
          <w:sz w:val="48"/>
          <w:szCs w:val="48"/>
          <w:lang w:val="en-US" w:eastAsia="zh-CN"/>
        </w:rPr>
        <w:t>五</w:t>
      </w:r>
      <w:r>
        <w:rPr>
          <w:rFonts w:ascii="Times New Roman" w:hAnsi="Times New Roman" w:eastAsia="黑体" w:cs="Times New Roman"/>
          <w:bCs/>
          <w:color w:val="000000"/>
          <w:kern w:val="24"/>
          <w:sz w:val="48"/>
          <w:szCs w:val="48"/>
        </w:rPr>
        <w:t>年</w:t>
      </w:r>
    </w:p>
    <w:p w14:paraId="0FEB9648">
      <w:pPr>
        <w:spacing w:after="156" w:afterLines="50" w:line="360" w:lineRule="auto"/>
        <w:rPr>
          <w:rFonts w:asciiTheme="minorEastAsia" w:hAnsiTheme="minorEastAsia"/>
          <w:sz w:val="24"/>
          <w:szCs w:val="24"/>
        </w:rPr>
        <w:sectPr>
          <w:footerReference r:id="rId3" w:type="default"/>
          <w:pgSz w:w="11906" w:h="16838"/>
          <w:pgMar w:top="1440" w:right="1418" w:bottom="1440" w:left="1418" w:header="851" w:footer="992" w:gutter="0"/>
          <w:cols w:space="425" w:num="1"/>
          <w:docGrid w:type="lines" w:linePitch="312" w:charSpace="0"/>
        </w:sectPr>
      </w:pPr>
    </w:p>
    <w:p w14:paraId="7A547B8B">
      <w:pPr>
        <w:spacing w:after="156" w:afterLines="50"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 xml:space="preserve"> 本公司保证本报告内容不存在任何虚假记载、误导性陈述或重大遗漏，并对其内容的真实性、准确性和完整性承担个别及连带责任。</w:t>
      </w:r>
    </w:p>
    <w:p w14:paraId="16148174">
      <w:pPr>
        <w:pStyle w:val="2"/>
        <w:rPr>
          <w:sz w:val="24"/>
          <w:szCs w:val="24"/>
        </w:rPr>
      </w:pPr>
      <w:r>
        <w:tab/>
      </w:r>
      <w:r>
        <w:rPr>
          <w:rFonts w:hint="eastAsia"/>
          <w:sz w:val="24"/>
          <w:szCs w:val="24"/>
        </w:rPr>
        <w:t>一、关于本报告</w:t>
      </w:r>
    </w:p>
    <w:p w14:paraId="2BB6FFA8">
      <w:pPr>
        <w:spacing w:after="156" w:afterLines="50"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本报告为</w:t>
      </w:r>
      <w:r>
        <w:rPr>
          <w:rFonts w:hint="eastAsia" w:asciiTheme="minorEastAsia" w:hAnsiTheme="minorEastAsia"/>
          <w:sz w:val="24"/>
          <w:szCs w:val="24"/>
          <w:highlight w:val="none"/>
          <w:lang w:val="en-US" w:eastAsia="zh-CN"/>
        </w:rPr>
        <w:t>江苏宝胜精密导体</w:t>
      </w:r>
      <w:r>
        <w:rPr>
          <w:rFonts w:hint="eastAsia" w:asciiTheme="minorEastAsia" w:hAnsiTheme="minorEastAsia"/>
          <w:sz w:val="24"/>
          <w:szCs w:val="24"/>
          <w:highlight w:val="none"/>
        </w:rPr>
        <w:t>有限公司</w:t>
      </w:r>
      <w:r>
        <w:rPr>
          <w:rFonts w:hint="eastAsia" w:asciiTheme="minorEastAsia" w:hAnsiTheme="minorEastAsia"/>
          <w:sz w:val="24"/>
          <w:szCs w:val="24"/>
        </w:rPr>
        <w:t>（以下简称“公司”）与各利益相关方就公司社会责任活动及其绩效信息进行沟通与交流的重要渠道和载体。本报告系统梳理了公司近年来在从事经营管理活动中，履行社会责任方面的相关信息，初步阐述了公司的社会责任观。通过与公司利益相关方的沟通和交流，进一步促进公司在日常经营活动中落实科学发展，推动企业、社会、环境的协调可持续发展。</w:t>
      </w:r>
    </w:p>
    <w:p w14:paraId="267A9292">
      <w:pPr>
        <w:spacing w:after="156" w:afterLines="50"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b/>
          <w:sz w:val="24"/>
          <w:szCs w:val="24"/>
        </w:rPr>
        <w:t>（一）报告时间范围：</w:t>
      </w:r>
      <w:r>
        <w:rPr>
          <w:rFonts w:hint="eastAsia" w:asciiTheme="minorEastAsia" w:hAnsiTheme="minorEastAsia"/>
          <w:sz w:val="24"/>
          <w:szCs w:val="24"/>
        </w:rPr>
        <w:t>202</w:t>
      </w:r>
      <w:r>
        <w:rPr>
          <w:rFonts w:hint="eastAsia" w:asciiTheme="minorEastAsia" w:hAnsiTheme="minorEastAsia"/>
          <w:sz w:val="24"/>
          <w:szCs w:val="24"/>
          <w:lang w:val="en-US" w:eastAsia="zh-CN"/>
        </w:rPr>
        <w:t>4</w:t>
      </w:r>
      <w:r>
        <w:rPr>
          <w:rFonts w:hint="eastAsia" w:asciiTheme="minorEastAsia" w:hAnsiTheme="minorEastAsia"/>
          <w:sz w:val="24"/>
          <w:szCs w:val="24"/>
        </w:rPr>
        <w:t>年1月1日至12月31日，部分内容追溯以往年份。</w:t>
      </w:r>
    </w:p>
    <w:p w14:paraId="4755A9E7">
      <w:pPr>
        <w:spacing w:after="156" w:afterLines="50"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b/>
          <w:sz w:val="24"/>
          <w:szCs w:val="24"/>
        </w:rPr>
        <w:t>（二）报告组织范围：</w:t>
      </w:r>
      <w:r>
        <w:rPr>
          <w:rFonts w:hint="eastAsia" w:asciiTheme="minorEastAsia" w:hAnsiTheme="minorEastAsia"/>
          <w:sz w:val="24"/>
          <w:szCs w:val="24"/>
        </w:rPr>
        <w:t>本报告信息覆盖范围涉及本公司。</w:t>
      </w:r>
    </w:p>
    <w:p w14:paraId="3C63EBF8">
      <w:pPr>
        <w:spacing w:after="156" w:afterLines="50"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b/>
          <w:sz w:val="24"/>
          <w:szCs w:val="24"/>
        </w:rPr>
        <w:t>（三） 报告发布周期：</w:t>
      </w:r>
      <w:r>
        <w:rPr>
          <w:rFonts w:hint="eastAsia" w:asciiTheme="minorEastAsia" w:hAnsiTheme="minorEastAsia"/>
          <w:sz w:val="24"/>
          <w:szCs w:val="24"/>
          <w:highlight w:val="none"/>
          <w:lang w:val="en-US" w:eastAsia="zh-CN"/>
        </w:rPr>
        <w:t>江苏宝胜精密导体</w:t>
      </w:r>
      <w:r>
        <w:rPr>
          <w:rFonts w:hint="eastAsia" w:asciiTheme="minorEastAsia" w:hAnsiTheme="minorEastAsia"/>
          <w:sz w:val="24"/>
          <w:szCs w:val="24"/>
        </w:rPr>
        <w:t>社会责任报告为年度报告。</w:t>
      </w:r>
    </w:p>
    <w:p w14:paraId="606055E5">
      <w:pPr>
        <w:spacing w:after="156" w:afterLines="50" w:line="360" w:lineRule="auto"/>
        <w:rPr>
          <w:rFonts w:asciiTheme="minorEastAsia" w:hAnsiTheme="minorEastAsia"/>
          <w:sz w:val="24"/>
          <w:szCs w:val="24"/>
        </w:rPr>
      </w:pPr>
      <w:r>
        <w:rPr>
          <w:rFonts w:hint="eastAsia" w:asciiTheme="minorEastAsia" w:hAnsiTheme="minorEastAsia"/>
          <w:b/>
          <w:sz w:val="24"/>
          <w:szCs w:val="24"/>
        </w:rPr>
        <w:tab/>
      </w:r>
      <w:r>
        <w:rPr>
          <w:rFonts w:hint="eastAsia" w:asciiTheme="minorEastAsia" w:hAnsiTheme="minorEastAsia"/>
          <w:b/>
          <w:sz w:val="24"/>
          <w:szCs w:val="24"/>
        </w:rPr>
        <w:t>（四）报告编制依据：</w:t>
      </w:r>
      <w:r>
        <w:rPr>
          <w:rFonts w:hint="eastAsia" w:asciiTheme="minorEastAsia" w:hAnsiTheme="minorEastAsia"/>
          <w:sz w:val="24"/>
          <w:szCs w:val="24"/>
        </w:rPr>
        <w:t>本报告依据上海证券交易所《公司履行社会责任的报告》编制指引，GB/T36001-2015《社会责任报告编写指南》等文件要求编制。</w:t>
      </w:r>
    </w:p>
    <w:p w14:paraId="6ACC12FF">
      <w:pPr>
        <w:spacing w:after="156" w:afterLines="50" w:line="360" w:lineRule="auto"/>
        <w:rPr>
          <w:rFonts w:asciiTheme="minorEastAsia" w:hAnsiTheme="minorEastAsia"/>
          <w:sz w:val="24"/>
          <w:szCs w:val="24"/>
        </w:rPr>
      </w:pPr>
      <w:r>
        <w:rPr>
          <w:rFonts w:hint="eastAsia" w:asciiTheme="minorEastAsia" w:hAnsiTheme="minorEastAsia"/>
          <w:b/>
          <w:sz w:val="24"/>
          <w:szCs w:val="24"/>
        </w:rPr>
        <w:tab/>
      </w:r>
      <w:r>
        <w:rPr>
          <w:rFonts w:hint="eastAsia" w:asciiTheme="minorEastAsia" w:hAnsiTheme="minorEastAsia"/>
          <w:b/>
          <w:sz w:val="24"/>
          <w:szCs w:val="24"/>
        </w:rPr>
        <w:t>（五）报告数据说明：</w:t>
      </w:r>
      <w:r>
        <w:rPr>
          <w:rFonts w:hint="eastAsia" w:asciiTheme="minorEastAsia" w:hAnsiTheme="minorEastAsia"/>
          <w:sz w:val="24"/>
          <w:szCs w:val="24"/>
        </w:rPr>
        <w:t>本报告所引用的财务数据来源于经过审计的公</w:t>
      </w:r>
      <w:bookmarkStart w:id="2" w:name="_GoBack"/>
      <w:r>
        <w:rPr>
          <w:rFonts w:hint="eastAsia" w:asciiTheme="minorEastAsia" w:hAnsiTheme="minorEastAsia"/>
          <w:color w:val="auto"/>
          <w:sz w:val="24"/>
          <w:szCs w:val="24"/>
        </w:rPr>
        <w:t>司</w:t>
      </w:r>
      <w:r>
        <w:rPr>
          <w:rFonts w:hint="eastAsia" w:asciiTheme="minorEastAsia" w:hAnsiTheme="minorEastAsia"/>
          <w:color w:val="auto"/>
          <w:sz w:val="24"/>
          <w:szCs w:val="24"/>
          <w:lang w:eastAsia="zh-CN"/>
        </w:rPr>
        <w:t>2024</w:t>
      </w:r>
      <w:r>
        <w:rPr>
          <w:rFonts w:hint="eastAsia" w:asciiTheme="minorEastAsia" w:hAnsiTheme="minorEastAsia"/>
          <w:color w:val="auto"/>
          <w:sz w:val="24"/>
          <w:szCs w:val="24"/>
        </w:rPr>
        <w:t>年年度财务报表（此报告期间数据未经审计，如有差异以正式审计报告为准</w:t>
      </w:r>
      <w:r>
        <w:rPr>
          <w:rFonts w:asciiTheme="minorEastAsia" w:hAnsiTheme="minorEastAsia"/>
          <w:color w:val="auto"/>
          <w:sz w:val="24"/>
          <w:szCs w:val="24"/>
        </w:rPr>
        <w:t>）</w:t>
      </w:r>
      <w:r>
        <w:rPr>
          <w:rFonts w:hint="eastAsia" w:asciiTheme="minorEastAsia" w:hAnsiTheme="minorEastAsia"/>
          <w:color w:val="auto"/>
          <w:sz w:val="24"/>
          <w:szCs w:val="24"/>
        </w:rPr>
        <w:t>，</w:t>
      </w:r>
      <w:bookmarkEnd w:id="2"/>
      <w:r>
        <w:rPr>
          <w:rFonts w:hint="eastAsia" w:asciiTheme="minorEastAsia" w:hAnsiTheme="minorEastAsia"/>
          <w:sz w:val="24"/>
          <w:szCs w:val="24"/>
        </w:rPr>
        <w:t>其他数据来源于公司内部正式文件和相关统计。</w:t>
      </w:r>
    </w:p>
    <w:p w14:paraId="3201B48D">
      <w:pPr>
        <w:spacing w:after="156" w:afterLines="50" w:line="360" w:lineRule="auto"/>
        <w:rPr>
          <w:rFonts w:asciiTheme="minorEastAsia" w:hAnsiTheme="minorEastAsia"/>
          <w:b/>
          <w:sz w:val="24"/>
          <w:szCs w:val="24"/>
        </w:rPr>
      </w:pPr>
      <w:r>
        <w:rPr>
          <w:rFonts w:hint="eastAsia" w:asciiTheme="minorEastAsia" w:hAnsiTheme="minorEastAsia"/>
          <w:b/>
          <w:sz w:val="24"/>
          <w:szCs w:val="24"/>
        </w:rPr>
        <w:tab/>
      </w:r>
      <w:r>
        <w:rPr>
          <w:rFonts w:hint="eastAsia" w:asciiTheme="minorEastAsia" w:hAnsiTheme="minorEastAsia"/>
          <w:b/>
          <w:sz w:val="24"/>
          <w:szCs w:val="24"/>
        </w:rPr>
        <w:t>（六）解答报告及其内容问题的联络人</w:t>
      </w:r>
    </w:p>
    <w:p w14:paraId="06785F11">
      <w:pPr>
        <w:spacing w:line="360" w:lineRule="auto"/>
        <w:rPr>
          <w:rFonts w:asciiTheme="minorEastAsia" w:hAnsiTheme="minorEastAsia"/>
          <w:sz w:val="24"/>
          <w:szCs w:val="24"/>
          <w:highlight w:val="none"/>
        </w:rPr>
      </w:pPr>
      <w:r>
        <w:rPr>
          <w:rFonts w:hint="eastAsia" w:asciiTheme="minorEastAsia" w:hAnsiTheme="minorEastAsia"/>
          <w:sz w:val="24"/>
          <w:szCs w:val="24"/>
        </w:rPr>
        <w:tab/>
      </w:r>
      <w:r>
        <w:rPr>
          <w:rFonts w:hint="eastAsia" w:asciiTheme="minorEastAsia" w:hAnsiTheme="minorEastAsia"/>
          <w:sz w:val="24"/>
          <w:szCs w:val="24"/>
          <w:highlight w:val="none"/>
        </w:rPr>
        <w:t xml:space="preserve"> 联系部门：</w:t>
      </w:r>
      <w:r>
        <w:rPr>
          <w:rFonts w:hint="eastAsia" w:asciiTheme="minorEastAsia" w:hAnsiTheme="minorEastAsia"/>
          <w:sz w:val="24"/>
          <w:szCs w:val="24"/>
          <w:highlight w:val="none"/>
          <w:lang w:val="en-US" w:eastAsia="zh-CN"/>
        </w:rPr>
        <w:t>江苏宝胜精密导体</w:t>
      </w:r>
      <w:r>
        <w:rPr>
          <w:rFonts w:hint="eastAsia" w:asciiTheme="minorEastAsia" w:hAnsiTheme="minorEastAsia"/>
          <w:sz w:val="24"/>
          <w:szCs w:val="24"/>
          <w:highlight w:val="none"/>
        </w:rPr>
        <w:t>有限公司</w:t>
      </w:r>
      <w:r>
        <w:rPr>
          <w:rFonts w:hint="eastAsia" w:asciiTheme="minorEastAsia" w:hAnsiTheme="minorEastAsia"/>
          <w:sz w:val="24"/>
          <w:szCs w:val="24"/>
          <w:highlight w:val="none"/>
          <w:lang w:val="en-US" w:eastAsia="zh-CN"/>
        </w:rPr>
        <w:t>安全环保部</w:t>
      </w:r>
      <w:r>
        <w:rPr>
          <w:rFonts w:hint="eastAsia" w:asciiTheme="minorEastAsia" w:hAnsiTheme="minorEastAsia"/>
          <w:sz w:val="24"/>
          <w:szCs w:val="24"/>
          <w:highlight w:val="none"/>
        </w:rPr>
        <w:t xml:space="preserve">         </w:t>
      </w:r>
    </w:p>
    <w:p w14:paraId="52E3BA7C">
      <w:pPr>
        <w:spacing w:line="360" w:lineRule="auto"/>
        <w:rPr>
          <w:rFonts w:hint="default" w:asciiTheme="minorEastAsia" w:hAnsiTheme="minorEastAsia" w:eastAsiaTheme="minorEastAsia"/>
          <w:sz w:val="24"/>
          <w:szCs w:val="24"/>
          <w:highlight w:val="none"/>
          <w:lang w:val="en-US" w:eastAsia="zh-CN"/>
        </w:rPr>
      </w:pPr>
      <w:r>
        <w:rPr>
          <w:rFonts w:hint="eastAsia" w:asciiTheme="minorEastAsia" w:hAnsiTheme="minorEastAsia"/>
          <w:sz w:val="24"/>
          <w:szCs w:val="24"/>
          <w:highlight w:val="none"/>
        </w:rPr>
        <w:tab/>
      </w:r>
      <w:r>
        <w:rPr>
          <w:rFonts w:hint="eastAsia" w:asciiTheme="minorEastAsia" w:hAnsiTheme="minorEastAsia"/>
          <w:sz w:val="24"/>
          <w:szCs w:val="24"/>
          <w:highlight w:val="none"/>
        </w:rPr>
        <w:t xml:space="preserve"> 联系人：</w:t>
      </w:r>
      <w:r>
        <w:rPr>
          <w:rFonts w:hint="eastAsia" w:asciiTheme="minorEastAsia" w:hAnsiTheme="minorEastAsia"/>
          <w:sz w:val="24"/>
          <w:szCs w:val="24"/>
          <w:highlight w:val="none"/>
          <w:lang w:val="en-US" w:eastAsia="zh-CN"/>
        </w:rPr>
        <w:t>刘继勇</w:t>
      </w:r>
    </w:p>
    <w:p w14:paraId="05760071">
      <w:pPr>
        <w:spacing w:line="360" w:lineRule="auto"/>
        <w:rPr>
          <w:rFonts w:asciiTheme="minorEastAsia" w:hAnsiTheme="minorEastAsia"/>
          <w:sz w:val="24"/>
          <w:szCs w:val="24"/>
          <w:highlight w:val="none"/>
        </w:rPr>
      </w:pPr>
      <w:r>
        <w:rPr>
          <w:rFonts w:hint="eastAsia" w:asciiTheme="minorEastAsia" w:hAnsiTheme="minorEastAsia"/>
          <w:sz w:val="24"/>
          <w:szCs w:val="24"/>
          <w:highlight w:val="none"/>
        </w:rPr>
        <w:tab/>
      </w:r>
      <w:r>
        <w:rPr>
          <w:rFonts w:hint="eastAsia" w:asciiTheme="minorEastAsia" w:hAnsiTheme="minorEastAsia"/>
          <w:sz w:val="24"/>
          <w:szCs w:val="24"/>
          <w:highlight w:val="none"/>
        </w:rPr>
        <w:t xml:space="preserve"> 联系地址：江苏省</w:t>
      </w:r>
      <w:r>
        <w:rPr>
          <w:rFonts w:hint="eastAsia" w:asciiTheme="minorEastAsia" w:hAnsiTheme="minorEastAsia"/>
          <w:sz w:val="24"/>
          <w:szCs w:val="24"/>
          <w:highlight w:val="none"/>
          <w:lang w:val="en-US" w:eastAsia="zh-CN"/>
        </w:rPr>
        <w:t>扬州市宝应县经济开发区北园路9号宝胜科技城</w:t>
      </w:r>
      <w:r>
        <w:rPr>
          <w:rFonts w:hint="eastAsia" w:asciiTheme="minorEastAsia" w:hAnsiTheme="minorEastAsia"/>
          <w:sz w:val="24"/>
          <w:szCs w:val="24"/>
          <w:highlight w:val="none"/>
        </w:rPr>
        <w:t xml:space="preserve">       </w:t>
      </w:r>
    </w:p>
    <w:p w14:paraId="1AFB96EA">
      <w:pPr>
        <w:spacing w:line="360" w:lineRule="auto"/>
        <w:rPr>
          <w:rFonts w:asciiTheme="minorEastAsia" w:hAnsiTheme="minorEastAsia"/>
          <w:sz w:val="24"/>
          <w:szCs w:val="24"/>
          <w:highlight w:val="none"/>
        </w:rPr>
      </w:pPr>
      <w:r>
        <w:rPr>
          <w:rFonts w:hint="eastAsia" w:asciiTheme="minorEastAsia" w:hAnsiTheme="minorEastAsia"/>
          <w:sz w:val="24"/>
          <w:szCs w:val="24"/>
          <w:highlight w:val="none"/>
        </w:rPr>
        <w:tab/>
      </w:r>
      <w:r>
        <w:rPr>
          <w:rFonts w:hint="eastAsia" w:asciiTheme="minorEastAsia" w:hAnsiTheme="minorEastAsia"/>
          <w:sz w:val="24"/>
          <w:szCs w:val="24"/>
          <w:highlight w:val="none"/>
        </w:rPr>
        <w:t xml:space="preserve"> 联系电话：0514-88249550             </w:t>
      </w:r>
      <w:r>
        <w:rPr>
          <w:rFonts w:hint="eastAsia" w:asciiTheme="minorEastAsia" w:hAnsiTheme="minorEastAsia"/>
          <w:sz w:val="24"/>
          <w:szCs w:val="24"/>
          <w:highlight w:val="none"/>
        </w:rPr>
        <w:tab/>
      </w:r>
      <w:r>
        <w:rPr>
          <w:rFonts w:hint="eastAsia" w:asciiTheme="minorEastAsia" w:hAnsiTheme="minorEastAsia"/>
          <w:sz w:val="24"/>
          <w:szCs w:val="24"/>
          <w:highlight w:val="none"/>
        </w:rPr>
        <w:t xml:space="preserve">     </w:t>
      </w:r>
    </w:p>
    <w:p w14:paraId="6D7BB6D1">
      <w:pPr>
        <w:spacing w:line="360" w:lineRule="auto"/>
        <w:rPr>
          <w:rFonts w:asciiTheme="minorEastAsia" w:hAnsiTheme="minorEastAsia"/>
          <w:sz w:val="24"/>
          <w:szCs w:val="24"/>
          <w:highlight w:val="none"/>
        </w:rPr>
      </w:pPr>
      <w:r>
        <w:rPr>
          <w:rFonts w:asciiTheme="minorEastAsia" w:hAnsiTheme="minorEastAsia"/>
          <w:sz w:val="24"/>
          <w:szCs w:val="24"/>
          <w:highlight w:val="none"/>
        </w:rPr>
        <w:tab/>
      </w:r>
      <w:r>
        <w:rPr>
          <w:rFonts w:asciiTheme="minorEastAsia" w:hAnsiTheme="minorEastAsia"/>
          <w:sz w:val="24"/>
          <w:szCs w:val="24"/>
          <w:highlight w:val="none"/>
        </w:rPr>
        <w:t xml:space="preserve"> E-Mail: </w:t>
      </w:r>
      <w:r>
        <w:rPr>
          <w:rFonts w:hint="eastAsia" w:asciiTheme="minorEastAsia" w:hAnsiTheme="minorEastAsia"/>
          <w:sz w:val="24"/>
          <w:szCs w:val="24"/>
          <w:highlight w:val="none"/>
          <w:lang w:val="en-US" w:eastAsia="zh-CN"/>
        </w:rPr>
        <w:t>hams1314@163.com</w:t>
      </w:r>
      <w:r>
        <w:rPr>
          <w:rFonts w:asciiTheme="minorEastAsia" w:hAnsiTheme="minorEastAsia"/>
          <w:sz w:val="24"/>
          <w:szCs w:val="24"/>
          <w:highlight w:val="none"/>
        </w:rPr>
        <w:t xml:space="preserve">   </w:t>
      </w:r>
    </w:p>
    <w:p w14:paraId="3E2150CF">
      <w:pPr>
        <w:pStyle w:val="2"/>
      </w:pPr>
      <w:r>
        <w:tab/>
      </w:r>
      <w:r>
        <w:rPr>
          <w:rFonts w:hint="eastAsia"/>
        </w:rPr>
        <w:t>二、关于公司</w:t>
      </w:r>
    </w:p>
    <w:p w14:paraId="1F25E9CC">
      <w:pPr>
        <w:pStyle w:val="3"/>
        <w:rPr>
          <w:highlight w:val="none"/>
        </w:rPr>
      </w:pPr>
      <w:r>
        <w:rPr>
          <w:rFonts w:hint="eastAsia"/>
        </w:rPr>
        <w:tab/>
      </w:r>
      <w:r>
        <w:rPr>
          <w:rFonts w:hint="eastAsia"/>
          <w:highlight w:val="none"/>
        </w:rPr>
        <w:t>（一）公司简介</w:t>
      </w:r>
    </w:p>
    <w:p w14:paraId="7EECAFD1">
      <w:pPr>
        <w:spacing w:after="156" w:afterLines="50" w:line="360" w:lineRule="auto"/>
        <w:rPr>
          <w:rFonts w:hint="eastAsia" w:asciiTheme="minorEastAsia" w:hAnsiTheme="minorEastAsia"/>
          <w:sz w:val="24"/>
          <w:szCs w:val="24"/>
        </w:rPr>
      </w:pPr>
      <w:bookmarkStart w:id="0" w:name="_Hlk127461811"/>
      <w:bookmarkStart w:id="1" w:name="_Hlk79760299"/>
      <w:r>
        <w:rPr>
          <w:rFonts w:hint="eastAsia" w:asciiTheme="minorEastAsia" w:hAnsiTheme="minorEastAsia"/>
          <w:sz w:val="24"/>
          <w:szCs w:val="24"/>
        </w:rPr>
        <w:t>江苏宝胜精密导体有限公司隶属于中国航空工业集团旗下上市公司宝胜科技创新股份有限公司全资子公司，注册资金11100万元，于2007年10月15日注册成立。2012年在宝胜科技城新建一期德国西马克梅尔公司30万吨铜杆生产线项目，项目总投资4亿人民币；2020年新上美国南方线材公司的22.5万吨二期项目，项目投产后铜杆总体产能达到52.5万吨/年。公司拥有进口大拉机、多头拉丝机、绞线机等深加工设备百余台套，并且拥有和航空航天配套的电解镀锡机、电解镀银机、电解镀镍机， 三镀产品的生产能力，产品范围从600mm²到0.01mm²基本覆盖电线电缆用导体全范围，深加工产品约20万吨/年。成为华东地区行业领军型企业，积极引领行业发展。新建国家院士工作站，与国家工程院院士及其团队共同开展并指导企业对高性能电工导电材料及特种电缆产品研究、加工工艺研究、先进技术运用以及行业内关键共性技术、前瞻性课题等进行研究和攻关。</w:t>
      </w:r>
    </w:p>
    <w:bookmarkEnd w:id="0"/>
    <w:bookmarkEnd w:id="1"/>
    <w:p w14:paraId="5502CEE0">
      <w:pPr>
        <w:spacing w:after="156" w:afterLines="50" w:line="360" w:lineRule="auto"/>
        <w:rPr>
          <w:rFonts w:asciiTheme="minorEastAsia" w:hAnsiTheme="minorEastAsia"/>
          <w:sz w:val="24"/>
          <w:szCs w:val="24"/>
        </w:rPr>
      </w:pPr>
    </w:p>
    <w:p w14:paraId="57BE9808">
      <w:pPr>
        <w:pStyle w:val="3"/>
        <w:rPr>
          <w:highlight w:val="none"/>
        </w:rPr>
      </w:pPr>
      <w:r>
        <w:rPr>
          <w:rFonts w:hint="eastAsia"/>
        </w:rPr>
        <w:tab/>
      </w:r>
      <w:r>
        <w:rPr>
          <w:rFonts w:hint="eastAsia"/>
          <w:highlight w:val="none"/>
        </w:rPr>
        <w:t>（二）股权结构（有则提供）</w:t>
      </w:r>
    </w:p>
    <w:p w14:paraId="45DB4DD0">
      <w:r>
        <w:rPr>
          <w:rFonts w:ascii="Times New Roman" w:hAnsi="Times New Roman" w:eastAsia="宋体" w:cs="Times New Roman"/>
        </w:rPr>
        <mc:AlternateContent>
          <mc:Choice Requires="wpc">
            <w:drawing>
              <wp:inline distT="0" distB="0" distL="0" distR="0">
                <wp:extent cx="4931410" cy="1365885"/>
                <wp:effectExtent l="0" t="0" r="0" b="62865"/>
                <wp:docPr id="22" name="画布 2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 name="Text Box 6"/>
                        <wps:cNvSpPr txBox="1">
                          <a:spLocks noChangeArrowheads="1"/>
                        </wps:cNvSpPr>
                        <wps:spPr bwMode="auto">
                          <a:xfrm>
                            <a:off x="1199515" y="1051560"/>
                            <a:ext cx="770255" cy="360045"/>
                          </a:xfrm>
                          <a:prstGeom prst="rect">
                            <a:avLst/>
                          </a:prstGeom>
                          <a:solidFill>
                            <a:srgbClr val="FFFFFF"/>
                          </a:solidFill>
                          <a:ln>
                            <a:noFill/>
                          </a:ln>
                        </wps:spPr>
                        <wps:txbx>
                          <w:txbxContent>
                            <w:p w14:paraId="225ECF42"/>
                          </w:txbxContent>
                        </wps:txbx>
                        <wps:bodyPr rot="0" vert="horz" wrap="square" lIns="91440" tIns="45720" rIns="91440" bIns="45720" anchor="t" anchorCtr="0" upright="1">
                          <a:noAutofit/>
                        </wps:bodyPr>
                      </wps:wsp>
                      <wps:wsp>
                        <wps:cNvPr id="6" name="Text Box 7"/>
                        <wps:cNvSpPr txBox="1">
                          <a:spLocks noChangeArrowheads="1"/>
                        </wps:cNvSpPr>
                        <wps:spPr bwMode="auto">
                          <a:xfrm>
                            <a:off x="1196340" y="443230"/>
                            <a:ext cx="770255" cy="360045"/>
                          </a:xfrm>
                          <a:prstGeom prst="rect">
                            <a:avLst/>
                          </a:prstGeom>
                          <a:solidFill>
                            <a:srgbClr val="FFFFFF"/>
                          </a:solidFill>
                          <a:ln>
                            <a:noFill/>
                          </a:ln>
                        </wps:spPr>
                        <wps:txbx>
                          <w:txbxContent>
                            <w:p w14:paraId="3B287CFC">
                              <w:r>
                                <w:rPr>
                                  <w:rFonts w:hint="eastAsia"/>
                                </w:rPr>
                                <w:t>100%</w:t>
                              </w:r>
                            </w:p>
                          </w:txbxContent>
                        </wps:txbx>
                        <wps:bodyPr rot="0" vert="horz" wrap="square" lIns="91440" tIns="45720" rIns="91440" bIns="45720" anchor="t" anchorCtr="0" upright="1">
                          <a:noAutofit/>
                        </wps:bodyPr>
                      </wps:wsp>
                      <wps:wsp>
                        <wps:cNvPr id="7" name="Text Box 8"/>
                        <wps:cNvSpPr txBox="1">
                          <a:spLocks noChangeArrowheads="1"/>
                        </wps:cNvSpPr>
                        <wps:spPr bwMode="auto">
                          <a:xfrm>
                            <a:off x="728345" y="108585"/>
                            <a:ext cx="2416810" cy="279400"/>
                          </a:xfrm>
                          <a:prstGeom prst="rect">
                            <a:avLst/>
                          </a:prstGeom>
                          <a:solidFill>
                            <a:srgbClr val="FFFFFF"/>
                          </a:solidFill>
                          <a:ln w="9525">
                            <a:solidFill>
                              <a:srgbClr val="000000"/>
                            </a:solidFill>
                            <a:miter lim="800000"/>
                          </a:ln>
                        </wps:spPr>
                        <wps:txbx>
                          <w:txbxContent>
                            <w:p w14:paraId="5678F6CC">
                              <w:pPr>
                                <w:jc w:val="center"/>
                                <w:rPr>
                                  <w:rFonts w:hint="default" w:eastAsiaTheme="minorEastAsia"/>
                                  <w:lang w:val="en-US" w:eastAsia="zh-CN"/>
                                </w:rPr>
                              </w:pPr>
                              <w:r>
                                <w:rPr>
                                  <w:rFonts w:hint="eastAsia"/>
                                  <w:lang w:val="en-US" w:eastAsia="zh-CN"/>
                                </w:rPr>
                                <w:t>宝胜科技创新股份有限公司</w:t>
                              </w:r>
                            </w:p>
                          </w:txbxContent>
                        </wps:txbx>
                        <wps:bodyPr rot="0" vert="horz" wrap="square" lIns="91440" tIns="45720" rIns="91440" bIns="45720" anchor="t" anchorCtr="0" upright="1">
                          <a:noAutofit/>
                        </wps:bodyPr>
                      </wps:wsp>
                      <wps:wsp>
                        <wps:cNvPr id="9" name="Text Box 10"/>
                        <wps:cNvSpPr txBox="1">
                          <a:spLocks noChangeArrowheads="1"/>
                        </wps:cNvSpPr>
                        <wps:spPr bwMode="auto">
                          <a:xfrm>
                            <a:off x="756920" y="748030"/>
                            <a:ext cx="2406650" cy="278765"/>
                          </a:xfrm>
                          <a:prstGeom prst="rect">
                            <a:avLst/>
                          </a:prstGeom>
                          <a:solidFill>
                            <a:srgbClr val="FFFFFF"/>
                          </a:solidFill>
                          <a:ln w="9525">
                            <a:solidFill>
                              <a:srgbClr val="000000"/>
                            </a:solidFill>
                            <a:miter lim="800000"/>
                          </a:ln>
                        </wps:spPr>
                        <wps:txbx>
                          <w:txbxContent>
                            <w:p w14:paraId="389705E6">
                              <w:pPr>
                                <w:jc w:val="center"/>
                              </w:pPr>
                              <w:r>
                                <w:rPr>
                                  <w:rFonts w:hint="eastAsia"/>
                                  <w:lang w:val="en-US" w:eastAsia="zh-CN"/>
                                </w:rPr>
                                <w:t>江苏宝胜精密导体</w:t>
                              </w:r>
                              <w:r>
                                <w:rPr>
                                  <w:rFonts w:hint="eastAsia"/>
                                </w:rPr>
                                <w:t>有限公司</w:t>
                              </w:r>
                            </w:p>
                          </w:txbxContent>
                        </wps:txbx>
                        <wps:bodyPr rot="0" vert="horz" wrap="square" lIns="91440" tIns="45720" rIns="91440" bIns="45720" anchor="t" anchorCtr="0" upright="1">
                          <a:noAutofit/>
                        </wps:bodyPr>
                      </wps:wsp>
                      <wps:wsp>
                        <wps:cNvPr id="12" name="AutoShape 13"/>
                        <wps:cNvCnPr>
                          <a:cxnSpLocks noChangeShapeType="1"/>
                          <a:stCxn id="7" idx="2"/>
                        </wps:cNvCnPr>
                        <wps:spPr bwMode="auto">
                          <a:xfrm>
                            <a:off x="1936750" y="387985"/>
                            <a:ext cx="8255" cy="353695"/>
                          </a:xfrm>
                          <a:prstGeom prst="straightConnector1">
                            <a:avLst/>
                          </a:prstGeom>
                          <a:noFill/>
                          <a:ln w="9525">
                            <a:solidFill>
                              <a:srgbClr val="000000"/>
                            </a:solidFill>
                            <a:round/>
                          </a:ln>
                        </wps:spPr>
                        <wps:bodyPr/>
                      </wps:wsp>
                    </wpc:wpc>
                  </a:graphicData>
                </a:graphic>
              </wp:inline>
            </w:drawing>
          </mc:Choice>
          <mc:Fallback>
            <w:pict>
              <v:group id="_x0000_s1026" o:spid="_x0000_s1026" o:spt="203" style="height:107.55pt;width:388.3pt;" coordsize="4931410,1365885" editas="canvas" o:gfxdata="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">
                <o:lock v:ext="edit" aspectratio="f"/>
                <v:shape id="_x0000_s1026" o:spid="_x0000_s1026" style="position:absolute;left:0;top:0;height:1365885;width:4931410;" filled="f" stroked="f" coordsize="21600,21600" o:gfxdata="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">
                  <v:fill on="f" focussize="0,0"/>
                  <v:stroke on="f"/>
                  <v:imagedata o:title=""/>
                  <o:lock v:ext="edit" aspectratio="t"/>
                </v:shape>
                <v:shape id="Text Box 6" o:spid="_x0000_s1026" o:spt="202" type="#_x0000_t202" style="position:absolute;left:1199515;top:1051560;height:360045;width:770255;" fillcolor="#FFFFFF" filled="t" stroked="f" coordsize="21600,21600" o:gfxdata="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2KGxXU&#10;AAAABQEAAA8AAAAAAAAAAQAgAAAAIgAAAGRycy9kb3ducmV2LnhtbFBLAQIUABQAAAAIAIdO4kDF&#10;8oGcJAIAAEgEAAAOAAAAAAAAAAEAIAAAACMBAABkcnMvZTJvRG9jLnhtbFBLBQYAAAAABgAGAFkB&#10;AAC5BQAAAAA=&#10;">
                  <v:fill on="t" focussize="0,0"/>
                  <v:stroke on="f"/>
                  <v:imagedata o:title=""/>
                  <o:lock v:ext="edit" aspectratio="f"/>
                  <v:textbox>
                    <w:txbxContent>
                      <w:p w14:paraId="225ECF42"/>
                    </w:txbxContent>
                  </v:textbox>
                </v:shape>
                <v:shape id="Text Box 7" o:spid="_x0000_s1026" o:spt="202" type="#_x0000_t202" style="position:absolute;left:1196340;top:443230;height:360045;width:770255;" fillcolor="#FFFFFF" filled="t" stroked="f" coordsize="21600,21600" o:gfxdata="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2KGxXU&#10;AAAABQEAAA8AAAAAAAAAAQAgAAAAIgAAAGRycy9kb3ducmV2LnhtbFBLAQIUABQAAAAIAIdO4kBO&#10;l4ihJAIAAEcEAAAOAAAAAAAAAAEAIAAAACMBAABkcnMvZTJvRG9jLnhtbFBLBQYAAAAABgAGAFkB&#10;AAC5BQAAAAA=&#10;">
                  <v:fill on="t" focussize="0,0"/>
                  <v:stroke on="f"/>
                  <v:imagedata o:title=""/>
                  <o:lock v:ext="edit" aspectratio="f"/>
                  <v:textbox>
                    <w:txbxContent>
                      <w:p w14:paraId="3B287CFC">
                        <w:r>
                          <w:rPr>
                            <w:rFonts w:hint="eastAsia"/>
                          </w:rPr>
                          <w:t>100%</w:t>
                        </w:r>
                      </w:p>
                    </w:txbxContent>
                  </v:textbox>
                </v:shape>
                <v:shape id="Text Box 8" o:spid="_x0000_s1026" o:spt="202" type="#_x0000_t202" style="position:absolute;left:728345;top:108585;height:279400;width:2416810;" fillcolor="#FFFFFF" filled="t" stroked="t" coordsize="21600,21600" o:gfxdata="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Q8FcItYAAAAFAQAADwAAAAAAAAABACAAAAAiAAAAZHJzL2Rv&#10;d25yZXYueG1sUEsBAhQAFAAAAAgAh07iQDz5RFw8AgAAkAQAAA4AAAAAAAAAAQAgAAAAJQEAAGRy&#10;cy9lMm9Eb2MueG1sUEsFBgAAAAAGAAYAWQEAANMFAAAAAA==&#10;">
                  <v:fill on="t" focussize="0,0"/>
                  <v:stroke color="#000000" miterlimit="8" joinstyle="miter"/>
                  <v:imagedata o:title=""/>
                  <o:lock v:ext="edit" aspectratio="f"/>
                  <v:textbox>
                    <w:txbxContent>
                      <w:p w14:paraId="5678F6CC">
                        <w:pPr>
                          <w:jc w:val="center"/>
                          <w:rPr>
                            <w:rFonts w:hint="default" w:eastAsiaTheme="minorEastAsia"/>
                            <w:lang w:val="en-US" w:eastAsia="zh-CN"/>
                          </w:rPr>
                        </w:pPr>
                        <w:r>
                          <w:rPr>
                            <w:rFonts w:hint="eastAsia"/>
                            <w:lang w:val="en-US" w:eastAsia="zh-CN"/>
                          </w:rPr>
                          <w:t>宝胜科技创新股份有限公司</w:t>
                        </w:r>
                      </w:p>
                    </w:txbxContent>
                  </v:textbox>
                </v:shape>
                <v:shape id="Text Box 10" o:spid="_x0000_s1026" o:spt="202" type="#_x0000_t202" style="position:absolute;left:756920;top:748030;height:278765;width:2406650;" fillcolor="#FFFFFF" filled="t" stroked="t" coordsize="21600,21600" o:gfxdata="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EPBXCLWAAAABQEAAA8AAAAAAAAAAQAgAAAAIgAAAGRycy9kb3du&#10;cmV2LnhtbFBLAQIUABQAAAAIAIdO4kA/vudYOgIAAJEEAAAOAAAAAAAAAAEAIAAAACUBAABkcnMv&#10;ZTJvRG9jLnhtbFBLBQYAAAAABgAGAFkBAADRBQAAAAA=&#10;">
                  <v:fill on="t" focussize="0,0"/>
                  <v:stroke color="#000000" miterlimit="8" joinstyle="miter"/>
                  <v:imagedata o:title=""/>
                  <o:lock v:ext="edit" aspectratio="f"/>
                  <v:textbox>
                    <w:txbxContent>
                      <w:p w14:paraId="389705E6">
                        <w:pPr>
                          <w:jc w:val="center"/>
                        </w:pPr>
                        <w:r>
                          <w:rPr>
                            <w:rFonts w:hint="eastAsia"/>
                            <w:lang w:val="en-US" w:eastAsia="zh-CN"/>
                          </w:rPr>
                          <w:t>江苏宝胜精密导体</w:t>
                        </w:r>
                        <w:r>
                          <w:rPr>
                            <w:rFonts w:hint="eastAsia"/>
                          </w:rPr>
                          <w:t>有限公司</w:t>
                        </w:r>
                      </w:p>
                    </w:txbxContent>
                  </v:textbox>
                </v:shape>
                <v:shape id="AutoShape 13" o:spid="_x0000_s1026" o:spt="32" type="#_x0000_t32" style="position:absolute;left:1936750;top:387985;height:353695;width:8255;" filled="f" stroked="t" coordsize="21600,21600" o:gfxdata="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P/X09NUAAAAFAQAADwAAAAAAAAABACAAAAAiAAAAZHJzL2Rvd25yZXYueG1sUEsBAhQAFAAA&#10;AAgAh07iQPJ/dlDyAQAA2gMAAA4AAAAAAAAAAQAgAAAAJAEAAGRycy9lMm9Eb2MueG1sUEsFBgAA&#10;AAAGAAYAWQEAAIgFAAAAAA==&#10;">
                  <v:fill on="f" focussize="0,0"/>
                  <v:stroke color="#000000" joinstyle="round"/>
                  <v:imagedata o:title=""/>
                  <o:lock v:ext="edit" aspectratio="f"/>
                </v:shape>
                <w10:wrap type="none"/>
                <w10:anchorlock/>
              </v:group>
            </w:pict>
          </mc:Fallback>
        </mc:AlternateContent>
      </w:r>
    </w:p>
    <w:p w14:paraId="0944F56A">
      <w:pPr>
        <w:pStyle w:val="3"/>
        <w:rPr>
          <w:highlight w:val="none"/>
        </w:rPr>
      </w:pPr>
      <w:r>
        <w:rPr>
          <w:rFonts w:hint="eastAsia"/>
        </w:rPr>
        <w:tab/>
      </w:r>
      <w:r>
        <w:rPr>
          <w:rFonts w:hint="eastAsia"/>
          <w:highlight w:val="none"/>
        </w:rPr>
        <w:t>（三）组织架构</w:t>
      </w:r>
    </w:p>
    <w:p w14:paraId="3587969C">
      <w:pPr>
        <w:spacing w:line="360" w:lineRule="auto"/>
      </w:pPr>
      <w:r>
        <w:drawing>
          <wp:inline distT="0" distB="0" distL="0" distR="0">
            <wp:extent cx="6122035" cy="4042410"/>
            <wp:effectExtent l="19050" t="19050" r="12065" b="15240"/>
            <wp:docPr id="17822711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271173"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122035" cy="4042410"/>
                    </a:xfrm>
                    <a:prstGeom prst="rect">
                      <a:avLst/>
                    </a:prstGeom>
                    <a:noFill/>
                    <a:ln w="6350" cmpd="sng">
                      <a:solidFill>
                        <a:srgbClr val="000000"/>
                      </a:solidFill>
                      <a:miter lim="800000"/>
                      <a:headEnd/>
                      <a:tailEnd/>
                    </a:ln>
                    <a:effectLst/>
                  </pic:spPr>
                </pic:pic>
              </a:graphicData>
            </a:graphic>
          </wp:inline>
        </w:drawing>
      </w:r>
    </w:p>
    <w:p w14:paraId="2DA9B3DE">
      <w:pPr>
        <w:spacing w:line="360" w:lineRule="auto"/>
        <w:rPr>
          <w:rFonts w:asciiTheme="minorEastAsia" w:hAnsiTheme="minorEastAsia"/>
          <w:sz w:val="24"/>
          <w:szCs w:val="24"/>
        </w:rPr>
      </w:pPr>
    </w:p>
    <w:p w14:paraId="62661347">
      <w:pPr>
        <w:spacing w:line="360" w:lineRule="auto"/>
        <w:rPr>
          <w:rFonts w:asciiTheme="minorEastAsia" w:hAnsiTheme="minorEastAsia"/>
          <w:sz w:val="24"/>
          <w:szCs w:val="24"/>
        </w:rPr>
      </w:pPr>
    </w:p>
    <w:p w14:paraId="76FBB7CA">
      <w:pPr>
        <w:pStyle w:val="3"/>
        <w:rPr>
          <w:highlight w:val="none"/>
        </w:rPr>
      </w:pPr>
      <w:r>
        <w:rPr>
          <w:rFonts w:hint="eastAsia"/>
          <w:highlight w:val="none"/>
        </w:rPr>
        <w:tab/>
      </w:r>
      <w:r>
        <w:rPr>
          <w:rFonts w:hint="eastAsia"/>
          <w:highlight w:val="none"/>
        </w:rPr>
        <w:t>（四）发展战略</w:t>
      </w:r>
    </w:p>
    <w:p w14:paraId="2FDFD75D">
      <w:pPr>
        <w:spacing w:after="156" w:afterLines="50" w:line="360" w:lineRule="auto"/>
        <w:rPr>
          <w:rFonts w:asciiTheme="minorEastAsia" w:hAnsiTheme="minorEastAsia"/>
          <w:sz w:val="24"/>
          <w:szCs w:val="24"/>
        </w:rPr>
      </w:pPr>
      <w:r>
        <w:rPr>
          <w:rFonts w:hint="eastAsia" w:asciiTheme="minorEastAsia" w:hAnsiTheme="minorEastAsia"/>
          <w:sz w:val="24"/>
          <w:szCs w:val="24"/>
        </w:rPr>
        <w:tab/>
      </w:r>
      <w:r>
        <w:rPr>
          <w:rFonts w:hint="eastAsia" w:asciiTheme="minorEastAsia" w:hAnsiTheme="minorEastAsia"/>
          <w:sz w:val="24"/>
          <w:szCs w:val="24"/>
        </w:rPr>
        <w:t xml:space="preserve"> </w:t>
      </w:r>
      <w:r>
        <w:rPr>
          <w:rFonts w:hint="eastAsia" w:ascii="仿宋" w:hAnsi="仿宋" w:eastAsia="仿宋" w:cs="仿宋"/>
          <w:sz w:val="32"/>
          <w:szCs w:val="32"/>
        </w:rPr>
        <w:t>公司本着快速发展与稳步推进相结合的原则，充分利用“宝胜”品牌的综合优势，在未来五年的时间内，加大三化的投入力度，以“四大硬仗”为导向，进一步提升核心竞争能力。同时携手</w:t>
      </w:r>
      <w:r>
        <w:rPr>
          <w:rFonts w:hint="eastAsia" w:ascii="仿宋" w:hAnsi="仿宋" w:eastAsia="仿宋" w:cs="仿宋"/>
          <w:sz w:val="32"/>
          <w:szCs w:val="32"/>
          <w:lang w:eastAsia="zh-CN"/>
        </w:rPr>
        <w:t>常州金源</w:t>
      </w:r>
      <w:r>
        <w:rPr>
          <w:rFonts w:hint="eastAsia" w:ascii="仿宋" w:hAnsi="仿宋" w:eastAsia="仿宋" w:cs="仿宋"/>
          <w:sz w:val="32"/>
          <w:szCs w:val="32"/>
        </w:rPr>
        <w:t>互补融合发展，打造长三角地区高端铜杆的重量级生产基地。</w:t>
      </w:r>
    </w:p>
    <w:p w14:paraId="3955CDEC">
      <w:pPr>
        <w:pStyle w:val="3"/>
        <w:rPr>
          <w:highlight w:val="none"/>
        </w:rPr>
      </w:pPr>
      <w:r>
        <w:rPr>
          <w:rFonts w:hint="eastAsia"/>
        </w:rPr>
        <w:tab/>
      </w:r>
      <w:r>
        <w:rPr>
          <w:rFonts w:hint="eastAsia"/>
          <w:highlight w:val="none"/>
        </w:rPr>
        <w:t>（五）企业文化</w:t>
      </w:r>
    </w:p>
    <w:p w14:paraId="3431EBA5">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1.企业使命：传输幸福能量 智引工业未来 </w:t>
      </w:r>
    </w:p>
    <w:p w14:paraId="200FA3E5">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企业愿景：卓越的电能与智能产业集团 </w:t>
      </w:r>
    </w:p>
    <w:p w14:paraId="6DB4821C">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2.宝胜核心价值观“四为一心”指的是：以客户为中心、创 </w:t>
      </w:r>
    </w:p>
    <w:p w14:paraId="1F4AF517">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新为魂、品质为本、责任为天、团结为基 </w:t>
      </w:r>
    </w:p>
    <w:p w14:paraId="7059A9D2">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3.宝胜新时代“五化”战略：国际化战略、高端化战略、产 </w:t>
      </w:r>
    </w:p>
    <w:p w14:paraId="07B3743E">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业化战略、信息化战略、服务化战略 </w:t>
      </w:r>
    </w:p>
    <w:p w14:paraId="75052591">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4.着力打造“五个宝胜”：创新宝胜、智慧宝胜、价值宝胜、 </w:t>
      </w:r>
    </w:p>
    <w:p w14:paraId="069D3955">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国际宝胜、卓越宝胜 </w:t>
      </w:r>
    </w:p>
    <w:p w14:paraId="34E27AA8">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5.管理目标：对标世界一流，提升管理效能，奋力推动宝胜 </w:t>
      </w:r>
    </w:p>
    <w:p w14:paraId="2FFD4842">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高质量发展高效益增长。 </w:t>
      </w:r>
    </w:p>
    <w:p w14:paraId="52EE920B">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6.宝胜人的质量“双零”态度：零缺陷 零容忍</w:t>
      </w:r>
    </w:p>
    <w:p w14:paraId="16CF56F7">
      <w:pPr>
        <w:pStyle w:val="3"/>
      </w:pPr>
      <w:r>
        <w:rPr>
          <w:rFonts w:hint="eastAsia"/>
        </w:rPr>
        <w:tab/>
      </w:r>
      <w:r>
        <w:rPr>
          <w:rFonts w:hint="eastAsia"/>
        </w:rPr>
        <w:t>（六）社会责任理念</w:t>
      </w:r>
    </w:p>
    <w:p w14:paraId="024367AE">
      <w:pPr>
        <w:pStyle w:val="3"/>
        <w:ind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一切以客户为中心、一切以奋斗者为本、一切以业绩为导向!</w:t>
      </w:r>
      <w:r>
        <w:rPr>
          <w:rFonts w:hint="eastAsia" w:ascii="仿宋" w:hAnsi="仿宋" w:eastAsia="仿宋" w:cs="仿宋"/>
          <w:b w:val="0"/>
          <w:bCs w:val="0"/>
          <w:kern w:val="2"/>
          <w:sz w:val="32"/>
          <w:szCs w:val="32"/>
          <w:lang w:val="en-US" w:eastAsia="zh-CN" w:bidi="ar-SA"/>
        </w:rPr>
        <w:tab/>
      </w:r>
      <w:r>
        <w:rPr>
          <w:rFonts w:hint="eastAsia" w:ascii="仿宋" w:hAnsi="仿宋" w:eastAsia="仿宋" w:cs="仿宋"/>
          <w:b w:val="0"/>
          <w:bCs w:val="0"/>
          <w:kern w:val="2"/>
          <w:sz w:val="32"/>
          <w:szCs w:val="32"/>
          <w:lang w:val="en-US" w:eastAsia="zh-CN" w:bidi="ar-SA"/>
        </w:rPr>
        <w:t>（七）所取得的主要荣誉</w:t>
      </w:r>
    </w:p>
    <w:p w14:paraId="6EED35A8">
      <w:pPr>
        <w:spacing w:line="360" w:lineRule="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ab/>
      </w:r>
      <w:r>
        <w:rPr>
          <w:rFonts w:hint="eastAsia" w:ascii="仿宋" w:hAnsi="仿宋" w:eastAsia="仿宋" w:cs="仿宋"/>
          <w:b w:val="0"/>
          <w:bCs w:val="0"/>
          <w:kern w:val="2"/>
          <w:sz w:val="32"/>
          <w:szCs w:val="32"/>
          <w:lang w:val="en-US" w:eastAsia="zh-CN" w:bidi="ar-SA"/>
        </w:rPr>
        <w:t xml:space="preserve"> 2023年，扬州市劳动保障诚信单位 ；</w:t>
      </w:r>
    </w:p>
    <w:p w14:paraId="1D3057C3">
      <w:pPr>
        <w:spacing w:line="360" w:lineRule="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ab/>
      </w:r>
      <w:r>
        <w:rPr>
          <w:rFonts w:hint="eastAsia" w:ascii="仿宋" w:hAnsi="仿宋" w:eastAsia="仿宋" w:cs="仿宋"/>
          <w:b w:val="0"/>
          <w:bCs w:val="0"/>
          <w:kern w:val="2"/>
          <w:sz w:val="32"/>
          <w:szCs w:val="32"/>
          <w:lang w:val="en-US" w:eastAsia="zh-CN" w:bidi="ar-SA"/>
        </w:rPr>
        <w:t xml:space="preserve"> 2024年， 扬州市应急管理局 安全标准化三级；</w:t>
      </w:r>
    </w:p>
    <w:p w14:paraId="37F9F0E7">
      <w:pPr>
        <w:spacing w:line="360" w:lineRule="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ab/>
      </w:r>
      <w:r>
        <w:rPr>
          <w:rFonts w:hint="eastAsia" w:ascii="仿宋" w:hAnsi="仿宋" w:eastAsia="仿宋" w:cs="仿宋"/>
          <w:b w:val="0"/>
          <w:bCs w:val="0"/>
          <w:kern w:val="2"/>
          <w:sz w:val="32"/>
          <w:szCs w:val="32"/>
          <w:lang w:val="en-US" w:eastAsia="zh-CN" w:bidi="ar-SA"/>
        </w:rPr>
        <w:t xml:space="preserve"> 2024年，江苏省智能制造车间；</w:t>
      </w:r>
    </w:p>
    <w:p w14:paraId="0C453165">
      <w:pPr>
        <w:pStyle w:val="2"/>
        <w:rPr>
          <w:rFonts w:hint="default" w:eastAsia="宋体"/>
          <w:highlight w:val="none"/>
          <w:lang w:val="en-US" w:eastAsia="zh-CN"/>
        </w:rPr>
      </w:pPr>
      <w:r>
        <w:rPr>
          <w:rFonts w:hint="eastAsia"/>
        </w:rPr>
        <w:tab/>
      </w:r>
      <w:r>
        <w:rPr>
          <w:rFonts w:hint="eastAsia"/>
          <w:highlight w:val="none"/>
        </w:rPr>
        <w:t>三、</w:t>
      </w:r>
      <w:r>
        <w:rPr>
          <w:rFonts w:hint="eastAsia"/>
          <w:highlight w:val="none"/>
          <w:lang w:val="en-US" w:eastAsia="zh-CN"/>
        </w:rPr>
        <w:t>品质革命质量管理</w:t>
      </w:r>
    </w:p>
    <w:p w14:paraId="0FEC363F">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00" w:firstLineChars="0"/>
        <w:textAlignment w:val="auto"/>
        <w:rPr>
          <w:rFonts w:hint="default" w:ascii="仿宋" w:hAnsi="仿宋" w:eastAsia="仿宋" w:cs="仿宋"/>
          <w:b/>
          <w:bCs/>
          <w:sz w:val="32"/>
          <w:szCs w:val="32"/>
          <w:lang w:val="en-US" w:eastAsia="zh-CN"/>
        </w:rPr>
      </w:pPr>
      <w:r>
        <w:rPr>
          <w:rFonts w:hint="eastAsia" w:asciiTheme="minorEastAsia" w:hAnsiTheme="minorEastAsia"/>
          <w:sz w:val="24"/>
          <w:szCs w:val="24"/>
        </w:rPr>
        <w:tab/>
      </w:r>
      <w:r>
        <w:rPr>
          <w:rFonts w:hint="eastAsia" w:ascii="仿宋" w:hAnsi="仿宋" w:eastAsia="仿宋" w:cs="仿宋"/>
          <w:b/>
          <w:bCs/>
          <w:sz w:val="32"/>
          <w:szCs w:val="32"/>
          <w:lang w:val="en-US" w:eastAsia="zh-CN"/>
        </w:rPr>
        <w:t>完善质量管理体系。</w:t>
      </w:r>
    </w:p>
    <w:p w14:paraId="0220134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按股份公司质量监督考核管理办法工作要求，完善质量管理体系，做好以下相关工作：</w:t>
      </w:r>
    </w:p>
    <w:p w14:paraId="7DB6CECE">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优化工作流程，完善《质量管理规定》《质量问题管理与考核办法》等相关制度，明确岗位职责及组织架构，建立质量问题监督考核及闭环管理工作机制，逐步构建质量管理长效机制。</w:t>
      </w:r>
    </w:p>
    <w:p w14:paraId="4D4261E8">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完善不合格品处置流程，规范质量问题分类处置流程，确定质量问题调查处理的职责、权限和工作要求。完善质量问题处理流程，确保质量问题有序、快速处理。严格成品检验和不合格品处置，对不符合项进行追溯和整改评价，保证产品质量可控。 </w:t>
      </w:r>
    </w:p>
    <w:p w14:paraId="244C6617">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梳理质量隐患风险点，建立质量风险点责任清单，严肃责任追究，明确质量责任。</w:t>
      </w:r>
    </w:p>
    <w:p w14:paraId="4EACF87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00"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落实公司质量月活动要求，营造良好质量氛围。</w:t>
      </w:r>
    </w:p>
    <w:p w14:paraId="3DEBAB5D">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承接股份公司质量月活动要求，制定方案措施，开展专项文化月活动，做好宣传、培训及总结。同时完善“质量之星”、“质量信得过班组”评选方案，每季度实施评选。</w:t>
      </w:r>
    </w:p>
    <w:p w14:paraId="0CC7DC43">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针对导体表面质量、排线问题及产品性能等产品质量问题，开展专项质量问题攻关活动，运用质量工具，全面分析各质量问题因素，降低相关质量问题出现频次。</w:t>
      </w:r>
    </w:p>
    <w:p w14:paraId="2C148F3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00"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提升设备保障能力。</w:t>
      </w:r>
    </w:p>
    <w:p w14:paraId="0A1011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（1）推进设备升级改造进度。梳理部门设备问题清单，根据生产需求，规划设备升级改造计划，提升设备生产的稳定性和可靠性。重点聚焦质量提升、生产效率提升及能耗降低。 </w:t>
      </w:r>
    </w:p>
    <w:p w14:paraId="325AA8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（2）完善标准化模具管理规定和使用规范。明确模具选用规则，规范工装模具的设计、制造、使用、保管、检测和报废等要求，杜绝因不规范使用和不规范操作导致的模具损伤和产品质量不稳定。</w:t>
      </w:r>
    </w:p>
    <w:p w14:paraId="7B9C0E3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00" w:firstLineChars="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推进生产过程标准化。</w:t>
      </w:r>
    </w:p>
    <w:p w14:paraId="507E11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围绕股份公司计划管理、工艺、废品处理、盘具(包装)、司磅、工时、制度、现场管理等9项工作标准化要求，梳理部门生产过程，推进标准化，增强产品质量一致性。</w:t>
      </w:r>
    </w:p>
    <w:p w14:paraId="1D5A208A">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00"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推进全员质量素质提升。</w:t>
      </w:r>
    </w:p>
    <w:p w14:paraId="7292766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结合员工定级工作，标准化作业法推广，发挥好</w:t>
      </w:r>
      <w:r>
        <w:rPr>
          <w:rFonts w:hint="eastAsia" w:ascii="仿宋" w:hAnsi="仿宋" w:eastAsia="仿宋" w:cs="仿宋"/>
          <w:sz w:val="32"/>
          <w:szCs w:val="32"/>
          <w:lang w:val="en-US" w:eastAsia="zh-CN"/>
        </w:rPr>
        <w:t>“质量之星”、“质量信得过班组”评选</w:t>
      </w:r>
      <w:r>
        <w:rPr>
          <w:rFonts w:hint="eastAsia" w:ascii="仿宋" w:hAnsi="仿宋" w:eastAsia="仿宋" w:cs="仿宋"/>
          <w:sz w:val="32"/>
          <w:szCs w:val="32"/>
        </w:rPr>
        <w:t>机制，做好全员理论知识和实操能力培训，</w:t>
      </w:r>
      <w:r>
        <w:rPr>
          <w:rFonts w:hint="eastAsia" w:ascii="仿宋" w:hAnsi="仿宋" w:eastAsia="仿宋" w:cs="仿宋"/>
          <w:sz w:val="32"/>
          <w:szCs w:val="32"/>
          <w:lang w:val="en-US" w:eastAsia="zh-CN"/>
        </w:rPr>
        <w:t>提升全员质量素养。</w:t>
      </w:r>
    </w:p>
    <w:p w14:paraId="452015CD">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提质增效成本管理</w:t>
      </w:r>
    </w:p>
    <w:p w14:paraId="0C7957B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完善数字化工厂，202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eastAsia="zh-CN"/>
        </w:rPr>
        <w:t>确保</w:t>
      </w:r>
      <w:r>
        <w:rPr>
          <w:rFonts w:hint="eastAsia" w:ascii="仿宋" w:hAnsi="仿宋" w:eastAsia="仿宋" w:cs="仿宋"/>
          <w:sz w:val="32"/>
          <w:szCs w:val="32"/>
        </w:rPr>
        <w:t>MES系统全部贯通，通过数字化工厂提升车间生产管理水平，合理制定生产任务安排，强化开机效能，做到设备产能最大化。列出所有设备的理论产能，并根据产品规格分解到机台，测算出每台次每规格理论产量，将严格按设备理论产能的80%作为日产能要求，每日报送产量报表，专人日日查核产量情况，将实际产量和理论产量进行对比，分析原因，拿出改进措施，确保开机效能同比提升10%；保证交货期的前提下，尽可能做好三期用电，降低生产成本；根据个客户的订单量，确定合理库存，降低成品库存，提高企业效益；做好车间产成品统计，认真分析废品产生量及原因，做好员工考核工作。</w:t>
      </w:r>
    </w:p>
    <w:p w14:paraId="08BF39C6">
      <w:pPr>
        <w:spacing w:line="360" w:lineRule="auto"/>
        <w:rPr>
          <w:rFonts w:asciiTheme="minorEastAsia" w:hAnsiTheme="minorEastAsia"/>
          <w:sz w:val="24"/>
          <w:szCs w:val="24"/>
        </w:rPr>
      </w:pPr>
    </w:p>
    <w:p w14:paraId="63DB5B01">
      <w:pPr>
        <w:pStyle w:val="2"/>
      </w:pPr>
      <w:r>
        <w:rPr>
          <w:rFonts w:hint="eastAsia"/>
        </w:rPr>
        <w:tab/>
      </w:r>
      <w:r>
        <w:rPr>
          <w:rFonts w:hint="eastAsia"/>
        </w:rPr>
        <w:t>四、经营责任</w:t>
      </w:r>
    </w:p>
    <w:p w14:paraId="713F2C92">
      <w:pPr>
        <w:spacing w:line="360" w:lineRule="auto"/>
        <w:rPr>
          <w:sz w:val="24"/>
          <w:szCs w:val="24"/>
        </w:rPr>
      </w:pPr>
      <w:r>
        <w:rPr>
          <w:sz w:val="24"/>
          <w:szCs w:val="24"/>
        </w:rPr>
        <w:tab/>
      </w:r>
      <w:r>
        <w:rPr>
          <w:rFonts w:hint="eastAsia" w:ascii="仿宋" w:hAnsi="仿宋" w:eastAsia="仿宋" w:cs="仿宋"/>
          <w:sz w:val="32"/>
          <w:szCs w:val="32"/>
        </w:rPr>
        <w:t>发展是企业的首要任务，效益是企业的立足之本。公司在</w:t>
      </w:r>
      <w:r>
        <w:rPr>
          <w:rFonts w:hint="eastAsia" w:ascii="仿宋" w:hAnsi="仿宋" w:eastAsia="仿宋" w:cs="仿宋"/>
          <w:sz w:val="32"/>
          <w:szCs w:val="32"/>
          <w:lang w:eastAsia="zh-CN"/>
        </w:rPr>
        <w:t>2024</w:t>
      </w:r>
      <w:r>
        <w:rPr>
          <w:rFonts w:hint="eastAsia" w:ascii="仿宋" w:hAnsi="仿宋" w:eastAsia="仿宋" w:cs="仿宋"/>
          <w:sz w:val="32"/>
          <w:szCs w:val="32"/>
        </w:rPr>
        <w:t>年全方面夯实经营管理能力，持续研发投入，扎实推进各项战略举措任务，基本确保了公司</w:t>
      </w:r>
      <w:r>
        <w:rPr>
          <w:rFonts w:hint="eastAsia" w:ascii="仿宋" w:hAnsi="仿宋" w:eastAsia="仿宋" w:cs="仿宋"/>
          <w:sz w:val="32"/>
          <w:szCs w:val="32"/>
          <w:lang w:eastAsia="zh-CN"/>
        </w:rPr>
        <w:t>2024</w:t>
      </w:r>
      <w:r>
        <w:rPr>
          <w:rFonts w:hint="eastAsia" w:ascii="仿宋" w:hAnsi="仿宋" w:eastAsia="仿宋" w:cs="仿宋"/>
          <w:sz w:val="32"/>
          <w:szCs w:val="32"/>
        </w:rPr>
        <w:t>年度预算目标的实现，为公司持续健康稳定发展奠定了坚实基础。</w:t>
      </w:r>
    </w:p>
    <w:p w14:paraId="1F9DDCDE">
      <w:pPr>
        <w:pStyle w:val="3"/>
      </w:pPr>
      <w:r>
        <w:tab/>
      </w:r>
      <w:r>
        <w:rPr>
          <w:rFonts w:hint="eastAsia"/>
        </w:rPr>
        <w:t>（一）强化经营管理体系</w:t>
      </w:r>
    </w:p>
    <w:p w14:paraId="062F05FF">
      <w:pPr>
        <w:pStyle w:val="22"/>
        <w:spacing w:before="0" w:beforeLines="0" w:after="0" w:afterLines="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经过多年的探索创新、积累沉淀，公司在生产制造、成本控制、市场营销、人力资源管理等方面形成了一套行之有效的规则制度，进一步提升公司经营管理水平。目前，公司的全面预算管理体系，目标绩效管理体系、经营报表管理体系有效落地，这将大大助推公司迈向全球先进经营管理水平之列。</w:t>
      </w:r>
    </w:p>
    <w:p w14:paraId="5505B6D7">
      <w:pPr>
        <w:pStyle w:val="3"/>
      </w:pPr>
      <w:r>
        <w:tab/>
      </w:r>
      <w:r>
        <w:rPr>
          <w:rFonts w:hint="eastAsia"/>
        </w:rPr>
        <w:t>（二）持续研发创新</w:t>
      </w:r>
    </w:p>
    <w:p w14:paraId="706E4BDF">
      <w:pPr>
        <w:pStyle w:val="22"/>
        <w:spacing w:before="0" w:beforeLines="0" w:after="0" w:afterLines="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ab/>
      </w:r>
      <w:r>
        <w:rPr>
          <w:rFonts w:hint="eastAsia" w:ascii="仿宋" w:hAnsi="仿宋" w:eastAsia="仿宋" w:cs="仿宋"/>
          <w:kern w:val="2"/>
          <w:sz w:val="32"/>
          <w:szCs w:val="32"/>
          <w:lang w:val="en-US" w:eastAsia="zh-CN" w:bidi="ar-SA"/>
        </w:rPr>
        <w:t>公司坚持自主创新发展道路，重视新产品与新技术的研发，瞄准行业难题，通过新产品与新技术的不断推出，实现了公司的有序发展。对新产品研发进行全程质量控制与管理，做到新技术、新产品、新信息的充分共享，使公司技术研发中心的信息交换更加高速、便捷、实时。通过构建“公平、公正、公开”的激励机制与晋升机制，对员工实行绩效管理，以“行业领先”为原则制定研发人员薪资标准，为研发中心人力资源管理提供了薪酬激励保障。</w:t>
      </w:r>
    </w:p>
    <w:p w14:paraId="5261AF9C">
      <w:pPr>
        <w:pStyle w:val="3"/>
        <w:ind w:firstLine="424" w:firstLineChars="176"/>
      </w:pPr>
      <w:r>
        <w:rPr>
          <w:rFonts w:hint="eastAsia"/>
        </w:rPr>
        <w:t>（三）经营成果展示</w:t>
      </w:r>
    </w:p>
    <w:p w14:paraId="290C2F30">
      <w:pPr>
        <w:spacing w:after="156" w:afterLines="50" w:line="360" w:lineRule="auto"/>
        <w:rPr>
          <w:rFonts w:hint="eastAsia" w:ascii="仿宋" w:hAnsi="仿宋" w:eastAsia="仿宋" w:cs="仿宋"/>
          <w:kern w:val="2"/>
          <w:sz w:val="32"/>
          <w:szCs w:val="32"/>
          <w:lang w:val="en-US" w:eastAsia="zh-CN" w:bidi="ar-SA"/>
        </w:rPr>
      </w:pPr>
      <w:r>
        <w:rPr>
          <w:rFonts w:hint="eastAsia" w:asciiTheme="minorEastAsia" w:hAnsiTheme="minorEastAsia"/>
          <w:sz w:val="24"/>
          <w:szCs w:val="24"/>
        </w:rPr>
        <w:tab/>
      </w:r>
      <w:r>
        <w:rPr>
          <w:rFonts w:hint="eastAsia" w:ascii="仿宋" w:hAnsi="仿宋" w:eastAsia="仿宋" w:cs="仿宋"/>
          <w:kern w:val="2"/>
          <w:sz w:val="32"/>
          <w:szCs w:val="32"/>
          <w:lang w:val="en-US" w:eastAsia="zh-CN" w:bidi="ar-SA"/>
        </w:rPr>
        <w:t xml:space="preserve"> 精密导体2024年完成营业收入205亿元，实物量30万吨，目前已形成成熟的营销网络，客户遍及江苏、山东、安徽、浙江、北京、上海、广东、福建、山西、宁夏、四川、湖北、吉林等省份，共有221家优质客户。美国南线22.5万吨连铸连轧生产线投产运行，跻身成为华东区域50万吨以上较大规模铜材加工重点企业。</w:t>
      </w:r>
    </w:p>
    <w:p w14:paraId="089AC86B">
      <w:pPr>
        <w:spacing w:after="156" w:afterLines="50" w:line="360" w:lineRule="auto"/>
        <w:rPr>
          <w:rFonts w:hint="eastAsia" w:asciiTheme="minorEastAsia" w:hAnsiTheme="minorEastAsia"/>
          <w:color w:val="FF0000"/>
          <w:sz w:val="24"/>
          <w:szCs w:val="24"/>
        </w:rPr>
      </w:pPr>
    </w:p>
    <w:p w14:paraId="3507750F">
      <w:pPr>
        <w:pStyle w:val="2"/>
      </w:pPr>
      <w:r>
        <w:rPr>
          <w:rFonts w:hint="eastAsia"/>
        </w:rPr>
        <w:tab/>
      </w:r>
      <w:r>
        <w:rPr>
          <w:rFonts w:hint="eastAsia"/>
        </w:rPr>
        <w:t>五、经济责任</w:t>
      </w:r>
    </w:p>
    <w:p w14:paraId="6E77B88F">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外部宏观环境分析</w:t>
      </w:r>
    </w:p>
    <w:p w14:paraId="24FA7AF7">
      <w:pPr>
        <w:pStyle w:val="3"/>
      </w:pPr>
    </w:p>
    <w:p w14:paraId="018BC24A">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从国家政策角度看：</w:t>
      </w:r>
      <w:r>
        <w:rPr>
          <w:rFonts w:hint="eastAsia" w:ascii="仿宋" w:hAnsi="仿宋" w:eastAsia="仿宋" w:cs="仿宋"/>
          <w:sz w:val="32"/>
          <w:szCs w:val="32"/>
        </w:rPr>
        <w:t>加快建设现代化经济体系，推动高质量发展，强调科技创新和绿色发展的核心地位，中国以及欧洲主要国家相继推出燃油车禁止生产时间计划，必将极大促进新能源汽车的发展，进而带动汽车用铜的发展</w:t>
      </w:r>
      <w:r>
        <w:rPr>
          <w:rFonts w:hint="eastAsia" w:ascii="仿宋" w:hAnsi="仿宋" w:eastAsia="仿宋" w:cs="仿宋"/>
          <w:sz w:val="32"/>
          <w:szCs w:val="32"/>
          <w:lang w:eastAsia="zh-CN"/>
        </w:rPr>
        <w:t>。</w:t>
      </w:r>
    </w:p>
    <w:p w14:paraId="29386DB8">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从经济的角度看，</w:t>
      </w:r>
      <w:r>
        <w:rPr>
          <w:rFonts w:hint="eastAsia" w:ascii="仿宋" w:hAnsi="仿宋" w:eastAsia="仿宋" w:cs="仿宋"/>
          <w:sz w:val="32"/>
          <w:szCs w:val="32"/>
        </w:rPr>
        <w:t>铜的供需对价格边际影响较大，加上国内铜杆行业产能严重过剩、新增厂家较多，许多铜杆厂家不得不下调加工费以保护市场份额，同行厂家处于白日化竞争状态，导致一些竞争能力偏弱的企业开工不足。预计在今后的</w:t>
      </w:r>
      <w:r>
        <w:rPr>
          <w:rFonts w:ascii="仿宋" w:hAnsi="仿宋" w:eastAsia="仿宋" w:cs="仿宋"/>
          <w:sz w:val="32"/>
          <w:szCs w:val="32"/>
        </w:rPr>
        <w:t>3-5</w:t>
      </w:r>
      <w:r>
        <w:rPr>
          <w:rFonts w:hint="eastAsia" w:ascii="仿宋" w:hAnsi="仿宋" w:eastAsia="仿宋" w:cs="仿宋"/>
          <w:sz w:val="32"/>
          <w:szCs w:val="32"/>
        </w:rPr>
        <w:t>年之内，迫于产能过剩，生存环境的严酷，一些已建和在建的铜杆企业，很可能会进入被淘汰、重组洗牌的境地。</w:t>
      </w:r>
    </w:p>
    <w:p w14:paraId="6C7B2DB4">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从社会的角度看，</w:t>
      </w:r>
      <w:r>
        <w:rPr>
          <w:rFonts w:hint="eastAsia" w:ascii="仿宋" w:hAnsi="仿宋" w:eastAsia="仿宋" w:cs="仿宋"/>
          <w:sz w:val="32"/>
          <w:szCs w:val="32"/>
        </w:rPr>
        <w:t>中国铜消费数量较大的行业为电力、家电、建筑、交通运输和机械，其中电力、家电和建筑是主要需求。目前，中国铜加工已有</w:t>
      </w:r>
      <w:r>
        <w:rPr>
          <w:rFonts w:ascii="仿宋" w:hAnsi="仿宋" w:eastAsia="仿宋" w:cs="仿宋"/>
          <w:sz w:val="32"/>
          <w:szCs w:val="32"/>
        </w:rPr>
        <w:t>250</w:t>
      </w:r>
      <w:r>
        <w:rPr>
          <w:rFonts w:hint="eastAsia" w:ascii="仿宋" w:hAnsi="仿宋" w:eastAsia="仿宋" w:cs="仿宋"/>
          <w:sz w:val="32"/>
          <w:szCs w:val="32"/>
        </w:rPr>
        <w:t>余种合金、近千种产品品种，是世界上产品品种最丰富的国家之一，中国传统的铜材加工已经逐步完成了向现代化铜材加工的转变，重点向高精度、高性能、环保、节能方向发展，产品质量稳步提高、产品标准水平已处于国际先进水平。</w:t>
      </w:r>
    </w:p>
    <w:p w14:paraId="484F6362">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 w:hAnsi="楷体" w:eastAsia="楷体" w:cs="楷体"/>
          <w:sz w:val="32"/>
          <w:szCs w:val="32"/>
        </w:rPr>
      </w:pPr>
      <w:r>
        <w:rPr>
          <w:rFonts w:hint="eastAsia" w:ascii="仿宋" w:hAnsi="仿宋" w:eastAsia="仿宋" w:cs="仿宋"/>
          <w:color w:val="000000" w:themeColor="text1"/>
          <w:sz w:val="32"/>
          <w:szCs w:val="32"/>
          <w14:textFill>
            <w14:solidFill>
              <w14:schemeClr w14:val="tx1"/>
            </w14:solidFill>
          </w14:textFill>
        </w:rPr>
        <w:t>从</w:t>
      </w:r>
      <w:r>
        <w:rPr>
          <w:rFonts w:hint="eastAsia" w:ascii="仿宋" w:hAnsi="仿宋" w:eastAsia="仿宋" w:cs="仿宋"/>
          <w:color w:val="000000" w:themeColor="text1"/>
          <w:sz w:val="32"/>
          <w:szCs w:val="32"/>
          <w:lang w:eastAsia="zh-CN"/>
          <w14:textFill>
            <w14:solidFill>
              <w14:schemeClr w14:val="tx1"/>
            </w14:solidFill>
          </w14:textFill>
        </w:rPr>
        <w:t>科技</w:t>
      </w:r>
      <w:r>
        <w:rPr>
          <w:rFonts w:hint="eastAsia" w:ascii="仿宋" w:hAnsi="仿宋" w:eastAsia="仿宋" w:cs="仿宋"/>
          <w:color w:val="000000" w:themeColor="text1"/>
          <w:sz w:val="32"/>
          <w:szCs w:val="32"/>
          <w14:textFill>
            <w14:solidFill>
              <w14:schemeClr w14:val="tx1"/>
            </w14:solidFill>
          </w14:textFill>
        </w:rPr>
        <w:t>的角度看，随着导体加工行业的不断发展，</w:t>
      </w:r>
      <w:r>
        <w:rPr>
          <w:rFonts w:hint="eastAsia" w:ascii="仿宋" w:hAnsi="仿宋" w:eastAsia="仿宋" w:cs="仿宋"/>
          <w:sz w:val="32"/>
          <w:szCs w:val="32"/>
        </w:rPr>
        <w:t>目前在各类生产工艺的生产线中采用最多的是</w:t>
      </w:r>
      <w:r>
        <w:rPr>
          <w:rFonts w:ascii="仿宋" w:hAnsi="仿宋" w:eastAsia="仿宋" w:cs="仿宋"/>
          <w:sz w:val="32"/>
          <w:szCs w:val="32"/>
        </w:rPr>
        <w:t>SCR</w:t>
      </w:r>
      <w:r>
        <w:rPr>
          <w:rFonts w:hint="eastAsia" w:ascii="仿宋" w:hAnsi="仿宋" w:eastAsia="仿宋" w:cs="仿宋"/>
          <w:sz w:val="32"/>
          <w:szCs w:val="32"/>
        </w:rPr>
        <w:t>生产线，其产量占世界铜杆产量的</w:t>
      </w:r>
      <w:r>
        <w:rPr>
          <w:rFonts w:ascii="仿宋" w:hAnsi="仿宋" w:eastAsia="仿宋" w:cs="仿宋"/>
          <w:sz w:val="32"/>
          <w:szCs w:val="32"/>
        </w:rPr>
        <w:t>50</w:t>
      </w:r>
      <w:r>
        <w:rPr>
          <w:rFonts w:hint="eastAsia" w:ascii="仿宋" w:hAnsi="仿宋" w:eastAsia="仿宋" w:cs="仿宋"/>
          <w:sz w:val="32"/>
          <w:szCs w:val="32"/>
        </w:rPr>
        <w:t>％以上</w:t>
      </w:r>
      <w:r>
        <w:rPr>
          <w:rFonts w:hint="eastAsia" w:ascii="仿宋" w:hAnsi="仿宋" w:eastAsia="仿宋" w:cs="仿宋"/>
          <w:sz w:val="32"/>
          <w:szCs w:val="32"/>
          <w:lang w:eastAsia="zh-CN"/>
        </w:rPr>
        <w:t>。</w:t>
      </w:r>
      <w:r>
        <w:rPr>
          <w:rFonts w:hint="eastAsia" w:ascii="仿宋" w:hAnsi="仿宋" w:eastAsia="仿宋" w:cs="仿宋"/>
          <w:sz w:val="32"/>
          <w:szCs w:val="32"/>
        </w:rPr>
        <w:t>铜杆生产设备和工艺均属成熟期，技术壁垒低，产品质量相差不大。对产品质量的控制主要来自于企业的生产管理经验和原料质量。</w:t>
      </w:r>
      <w:r>
        <w:rPr>
          <w:rFonts w:hint="eastAsia" w:ascii="楷体" w:hAnsi="楷体" w:eastAsia="楷体" w:cs="楷体"/>
          <w:sz w:val="32"/>
          <w:szCs w:val="32"/>
        </w:rPr>
        <w:t>外部宏观环境分析</w:t>
      </w:r>
    </w:p>
    <w:p w14:paraId="61FCA618">
      <w:pPr>
        <w:spacing w:after="156" w:afterLines="50" w:line="360" w:lineRule="auto"/>
        <w:rPr>
          <w:rFonts w:asciiTheme="minorEastAsia" w:hAnsiTheme="minorEastAsia"/>
          <w:sz w:val="24"/>
          <w:szCs w:val="24"/>
        </w:rPr>
      </w:pPr>
    </w:p>
    <w:p w14:paraId="3A78A5A5">
      <w:pPr>
        <w:pStyle w:val="3"/>
      </w:pPr>
      <w:r>
        <w:rPr>
          <w:rFonts w:hint="eastAsia"/>
        </w:rPr>
        <w:tab/>
      </w:r>
      <w:r>
        <w:rPr>
          <w:rFonts w:hint="eastAsia"/>
        </w:rPr>
        <w:t>（二）合作共赢责任</w:t>
      </w:r>
    </w:p>
    <w:p w14:paraId="41777F89">
      <w:pPr>
        <w:spacing w:line="360" w:lineRule="auto"/>
        <w:rPr>
          <w:rFonts w:hint="eastAsia" w:ascii="仿宋" w:hAnsi="仿宋" w:eastAsia="仿宋" w:cs="仿宋"/>
          <w:sz w:val="32"/>
          <w:szCs w:val="32"/>
        </w:rPr>
      </w:pPr>
      <w:r>
        <w:rPr>
          <w:rFonts w:asciiTheme="minorEastAsia" w:hAnsiTheme="minorEastAsia"/>
          <w:sz w:val="24"/>
          <w:szCs w:val="24"/>
        </w:rPr>
        <w:tab/>
      </w:r>
      <w:r>
        <w:rPr>
          <w:rFonts w:hint="eastAsia" w:ascii="仿宋" w:hAnsi="仿宋" w:eastAsia="仿宋" w:cs="仿宋"/>
          <w:sz w:val="32"/>
          <w:szCs w:val="32"/>
        </w:rPr>
        <w:t>公司坚持以合作谋发展，以合作促共赢，立足于与合作伙伴共同成长，并在此基础上实现价值共享。公司严格按照与债权人签订合同，恪守信用，履行债务，及时通报与债权人权益相关的重大信息，营造信任、平等、共赢的合作关系。公司建立健全了《供应商管理制度》、《合同管理制度》等相关内控制度，依据不同物料采用询比价、竞争性谈判、招标相结合的采购方式，开展技术经验交流，建立了反舞弊管理机制，设置投诉专线，始终坚持公开、公平、公正和互惠互利的原则，促进双方共同发展。公司坚持稳健财务政策，加强资金预算管理，注重全面风险管理，维护良好的资信水平，确保资产和资金安全，严格控制资产负债率在合理水平，切实维护债权人的合法权益。截止目前，公司主要债权人各商业银行、供应商皆未与公司发生任何债务纠纷。</w:t>
      </w:r>
    </w:p>
    <w:p w14:paraId="20648762">
      <w:pPr>
        <w:pStyle w:val="2"/>
      </w:pPr>
      <w:r>
        <w:rPr>
          <w:rFonts w:hint="eastAsia"/>
        </w:rPr>
        <w:tab/>
      </w:r>
      <w:r>
        <w:rPr>
          <w:rFonts w:hint="eastAsia"/>
        </w:rPr>
        <w:t>六、环保责任</w:t>
      </w:r>
    </w:p>
    <w:p w14:paraId="4BAA818F">
      <w:pPr>
        <w:spacing w:line="360" w:lineRule="auto"/>
        <w:rPr>
          <w:rFonts w:hint="eastAsia" w:ascii="仿宋" w:hAnsi="仿宋" w:eastAsia="仿宋" w:cs="仿宋"/>
          <w:sz w:val="32"/>
          <w:szCs w:val="32"/>
        </w:rPr>
      </w:pPr>
      <w:r>
        <w:rPr>
          <w:rFonts w:hint="eastAsia" w:asciiTheme="minorEastAsia" w:hAnsiTheme="minorEastAsia"/>
          <w:sz w:val="24"/>
          <w:szCs w:val="24"/>
        </w:rPr>
        <w:tab/>
      </w:r>
      <w:r>
        <w:rPr>
          <w:rFonts w:hint="eastAsia" w:ascii="仿宋" w:hAnsi="仿宋" w:eastAsia="仿宋" w:cs="仿宋"/>
          <w:sz w:val="32"/>
          <w:szCs w:val="32"/>
        </w:rPr>
        <w:t>近年来，国家对环境保护提出来更高监管要求，这需要企业加大环境保护方面投入，面对环保责任和企业利益的矛盾与冲突，公司以高度的社会责任感和自主创新精神，从原材料采购、生产工艺、产品运输包装、产品报废处理等环节入手，加快环保节能技术改造，深入环保节能工作，全过程对产品的环境保护进行层层把关。公司在新技术、新材料、新工艺研发管理工作中，加入了环保指标评审与考核。公司将积极承担环保责任，努力把公司建设成为环境友好型、资源节约型的现代化企业。</w:t>
      </w:r>
    </w:p>
    <w:p w14:paraId="67392550">
      <w:pPr>
        <w:pStyle w:val="2"/>
      </w:pPr>
      <w:r>
        <w:rPr>
          <w:rFonts w:hint="eastAsia"/>
        </w:rPr>
        <w:tab/>
      </w:r>
      <w:r>
        <w:rPr>
          <w:rFonts w:hint="eastAsia"/>
        </w:rPr>
        <w:t>七、社会责任</w:t>
      </w:r>
    </w:p>
    <w:p w14:paraId="16594A27">
      <w:pPr>
        <w:pStyle w:val="3"/>
      </w:pPr>
      <w:r>
        <w:rPr>
          <w:rFonts w:hint="eastAsia"/>
        </w:rPr>
        <w:tab/>
      </w:r>
      <w:r>
        <w:rPr>
          <w:rFonts w:hint="eastAsia"/>
        </w:rPr>
        <w:t>（一）安全责任</w:t>
      </w:r>
    </w:p>
    <w:p w14:paraId="7A7E76B5">
      <w:pPr>
        <w:spacing w:line="360" w:lineRule="auto"/>
        <w:rPr>
          <w:rFonts w:hint="eastAsia" w:ascii="仿宋" w:hAnsi="仿宋" w:eastAsia="仿宋" w:cs="仿宋"/>
          <w:sz w:val="32"/>
          <w:szCs w:val="32"/>
        </w:rPr>
      </w:pPr>
      <w:r>
        <w:rPr>
          <w:sz w:val="24"/>
          <w:szCs w:val="24"/>
        </w:rPr>
        <w:tab/>
      </w:r>
      <w:r>
        <w:rPr>
          <w:rFonts w:hint="eastAsia" w:ascii="仿宋" w:hAnsi="仿宋" w:eastAsia="仿宋" w:cs="仿宋"/>
          <w:sz w:val="32"/>
          <w:szCs w:val="32"/>
        </w:rPr>
        <w:t>安全生产是企业生存与发展的前提，更是全体员工的生命线，公司始终把安全工作摆在一切工作的首位，设立了安全管理机构安环部，实行专业化管理。公司定期举办模拟消防演练、安全知识教育培训，不断提高员工的风险防范意识和危机处理能力。安环部定期组织安全生产专项大检查，识别潜在危险源，加大对安全隐患排查和整改力度，建立起“层层把关、全员参与、防患于未然”的安全风险预防管理体系。公司全员签订了《安全生产责任书》，落实安全生产目标责任制，对失职渎职行为严肃问责，建立健全了安全生产责任管理体系。</w:t>
      </w:r>
    </w:p>
    <w:p w14:paraId="609CF4F7">
      <w:pPr>
        <w:spacing w:line="360" w:lineRule="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公司认真贯彻执行“安全第一、预防为主、综合治理”的安全生产方针，通过践行“尊重生命、敬畏规则、落实责任、规范管理”的安全理念，培育“制度管理、环境约束、文化引领”的安全文化，从宣传教育、制度建设、精神鼓励、物质保障、行为约束、典型示范等多方位推进，公司实现了全年安全管理无重大事故，安全生产局面继续保持了良好的发展态势。</w:t>
      </w:r>
    </w:p>
    <w:p w14:paraId="006E8146">
      <w:pPr>
        <w:spacing w:line="360" w:lineRule="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（二）员工责任</w:t>
      </w:r>
      <w:r>
        <w:rPr>
          <w:rFonts w:hint="eastAsia" w:ascii="仿宋" w:hAnsi="仿宋" w:eastAsia="仿宋" w:cs="仿宋"/>
          <w:sz w:val="32"/>
          <w:szCs w:val="32"/>
        </w:rPr>
        <w:tab/>
      </w:r>
    </w:p>
    <w:p w14:paraId="2A62103B">
      <w:pPr>
        <w:spacing w:line="360" w:lineRule="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公司坚持以人为本的管理理念，逐步完善人力资源管理体系，打造员工成长、企业发展的利益共同体、事业共同体、命运共同体。公司严格遵守《劳动法》、《劳动合同法》、《社会保险法》等相关法律法规要求，依法制定规范的劳动合同管理制度、薪酬福利管理制度、绩效管理制度等人事相关管理制度。公司与全体员工签订了《劳动合同》，按时足额发放薪酬，办理医疗、养老、失业、工伤、生育等社会保险，实施带薪年假、产假、哺乳假等相关政策，保障了员工的基本权益。公司注重高潜人才培训，逐步建立起后备干部梯队，将员工需求与企业发展相融合，助力员工成长成才。通过把员工薪酬与公司业绩、个人绩效直接挂钩，用激励机制强化员工的责任意识与敬业意识，不断提高员工的忠诚度，增强企业的活力和创造性。</w:t>
      </w:r>
    </w:p>
    <w:p w14:paraId="0F156AF3">
      <w:pPr>
        <w:spacing w:line="360" w:lineRule="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4</w:t>
      </w:r>
      <w:r>
        <w:rPr>
          <w:rFonts w:hint="eastAsia" w:ascii="仿宋" w:hAnsi="仿宋" w:eastAsia="仿宋" w:cs="仿宋"/>
          <w:sz w:val="32"/>
          <w:szCs w:val="32"/>
        </w:rPr>
        <w:t>年度，充分发挥了职工代表大会的民主监督作用，保障了广大员工的知情权、参与权。同时，公司实施了职工代表监事制度，并切实有效推进核查，强化法人治理结构，有效提高了公司民主决策、科学决策、民主管理、民主监督水平。公司每年开展员工职业健康体检，组织关键岗位员工参加股份安全和健康讲座，组织叉车、消防技能竞赛，各班组开展的应急演练，动员公司职工积极参加股份组织的“三八”节运动会，通过“宝胜e家亲”参与重大节假日活动。在文化活动方面，我们组织参加了丰富多彩的文体活动，动员22名职工、12名职工家属以饱满的热情、激昂的精神参与了宝胜建厂39周年首届职工趣味运动会，获得了团体赛季军荣誉；联合常州金源分工会组建“铜板块”篮球队参加宝胜第二届职工篮球赛；选拔6名职工代表报名参加宝应县产业工人暨职工运动会，赛出了成绩，展现了宝胜风采；12名女职工精心组织、排练了大合唱《灯火里的中国》节目，在宝胜股份首届职工文化才艺大赛斩获演唱类二等奖，夏季送清凉、冬季送温暖 、疾病送安慰、结婚送祝福，保证员工身体健康，丰富员工业余文化生活，营造和谐快乐的工作氛围，提升员工的凝聚力和向心力。</w:t>
      </w:r>
    </w:p>
    <w:p w14:paraId="43B49E24">
      <w:pPr>
        <w:spacing w:line="360" w:lineRule="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公司始终坚信优秀的</w:t>
      </w:r>
      <w:r>
        <w:rPr>
          <w:rFonts w:hint="eastAsia" w:ascii="仿宋" w:hAnsi="仿宋" w:eastAsia="仿宋" w:cs="仿宋"/>
          <w:sz w:val="32"/>
          <w:szCs w:val="32"/>
          <w:lang w:val="en-US" w:eastAsia="zh-CN"/>
        </w:rPr>
        <w:t>生产制造部</w:t>
      </w:r>
      <w:r>
        <w:rPr>
          <w:rFonts w:hint="eastAsia" w:ascii="仿宋" w:hAnsi="仿宋" w:eastAsia="仿宋" w:cs="仿宋"/>
          <w:sz w:val="32"/>
          <w:szCs w:val="32"/>
        </w:rPr>
        <w:t>是公司发展历程中最宝贵的财富。通过积极探索有公司特色的人力资源管理政策，把每位员工的个人职业生涯与公司发展目标真正融合起来，保障员工合理分享公司发展成果，调动员工的工作积极性与主动性，持续推动企业和员工和谐发展。</w:t>
      </w:r>
    </w:p>
    <w:p w14:paraId="76AED5F2">
      <w:pPr>
        <w:spacing w:line="360" w:lineRule="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过去的一年，公司在治理结构、安全生产、环境保护、科技创新、相关方利益保护等方面开展了大量工作，取得了一定成绩。202</w:t>
      </w:r>
      <w:r>
        <w:rPr>
          <w:rFonts w:hint="eastAsia" w:ascii="仿宋" w:hAnsi="仿宋" w:eastAsia="仿宋" w:cs="仿宋"/>
          <w:sz w:val="32"/>
          <w:szCs w:val="32"/>
          <w:lang w:val="en-US" w:eastAsia="zh-CN"/>
        </w:rPr>
        <w:t>5</w:t>
      </w:r>
      <w:r>
        <w:rPr>
          <w:rFonts w:hint="eastAsia" w:ascii="仿宋" w:hAnsi="仿宋" w:eastAsia="仿宋" w:cs="仿宋"/>
          <w:sz w:val="32"/>
          <w:szCs w:val="32"/>
        </w:rPr>
        <w:t>年，公司将再接再厉，继续秉承创造价值才有价值的理念，完善公司社会责任体系，积极承担上市公司社会责任，努力实现与各利益相关方的合作共赢，促进公司全面、协调、可持续发展。</w:t>
      </w:r>
    </w:p>
    <w:p w14:paraId="7364CE88">
      <w:pPr>
        <w:spacing w:line="360" w:lineRule="auto"/>
        <w:rPr>
          <w:rFonts w:hint="eastAsia" w:ascii="仿宋" w:hAnsi="仿宋" w:eastAsia="仿宋" w:cs="仿宋"/>
          <w:sz w:val="32"/>
          <w:szCs w:val="32"/>
        </w:rPr>
      </w:pPr>
    </w:p>
    <w:p w14:paraId="2C5297C5">
      <w:pPr>
        <w:spacing w:line="360" w:lineRule="auto"/>
        <w:jc w:val="right"/>
        <w:rPr>
          <w:rFonts w:hint="eastAsia" w:ascii="仿宋" w:hAnsi="仿宋" w:eastAsia="仿宋" w:cs="仿宋"/>
          <w:sz w:val="32"/>
          <w:szCs w:val="32"/>
        </w:rPr>
      </w:pPr>
      <w:r>
        <w:rPr>
          <w:rFonts w:hint="eastAsia" w:ascii="仿宋" w:hAnsi="仿宋" w:eastAsia="仿宋" w:cs="仿宋"/>
          <w:sz w:val="32"/>
          <w:szCs w:val="32"/>
          <w:lang w:val="en-US" w:eastAsia="zh-CN"/>
        </w:rPr>
        <w:t>江苏宝胜精密导体</w:t>
      </w:r>
      <w:r>
        <w:rPr>
          <w:rFonts w:hint="eastAsia" w:ascii="仿宋" w:hAnsi="仿宋" w:eastAsia="仿宋" w:cs="仿宋"/>
          <w:sz w:val="32"/>
          <w:szCs w:val="32"/>
        </w:rPr>
        <w:t>有限公司</w:t>
      </w:r>
    </w:p>
    <w:p w14:paraId="77953CA6">
      <w:pPr>
        <w:spacing w:line="360" w:lineRule="auto"/>
        <w:jc w:val="right"/>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25</w:t>
      </w:r>
      <w:r>
        <w:rPr>
          <w:rFonts w:hint="eastAsia" w:ascii="仿宋" w:hAnsi="仿宋" w:eastAsia="仿宋" w:cs="仿宋"/>
          <w:sz w:val="32"/>
          <w:szCs w:val="32"/>
        </w:rPr>
        <w:t>年0</w:t>
      </w:r>
      <w:r>
        <w:rPr>
          <w:rFonts w:hint="eastAsia" w:ascii="仿宋" w:hAnsi="仿宋" w:eastAsia="仿宋" w:cs="仿宋"/>
          <w:sz w:val="32"/>
          <w:szCs w:val="32"/>
          <w:lang w:val="en-US" w:eastAsia="zh-CN"/>
        </w:rPr>
        <w:t>1</w:t>
      </w:r>
      <w:r>
        <w:rPr>
          <w:rFonts w:hint="eastAsia" w:ascii="仿宋" w:hAnsi="仿宋" w:eastAsia="仿宋" w:cs="仿宋"/>
          <w:sz w:val="32"/>
          <w:szCs w:val="32"/>
        </w:rPr>
        <w:t>月25日</w:t>
      </w:r>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2035492"/>
      <w:docPartObj>
        <w:docPartGallery w:val="autotext"/>
      </w:docPartObj>
    </w:sdtPr>
    <w:sdtContent>
      <w:p w14:paraId="7FDD7F93">
        <w:pPr>
          <w:pStyle w:val="7"/>
          <w:jc w:val="center"/>
        </w:pPr>
        <w:r>
          <w:fldChar w:fldCharType="begin"/>
        </w:r>
        <w:r>
          <w:instrText xml:space="preserve">PAGE   \* MERGEFORMAT</w:instrText>
        </w:r>
        <w:r>
          <w:fldChar w:fldCharType="separate"/>
        </w:r>
        <w:r>
          <w:rPr>
            <w:lang w:val="zh-CN"/>
          </w:rPr>
          <w:t>10</w:t>
        </w:r>
        <w:r>
          <w:fldChar w:fldCharType="end"/>
        </w:r>
      </w:p>
    </w:sdtContent>
  </w:sdt>
  <w:p w14:paraId="6F7421C3">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CE3E54"/>
    <w:multiLevelType w:val="singleLevel"/>
    <w:tmpl w:val="B6CE3E54"/>
    <w:lvl w:ilvl="0" w:tentative="0">
      <w:start w:val="1"/>
      <w:numFmt w:val="decimal"/>
      <w:suff w:val="nothing"/>
      <w:lvlText w:val="%1．"/>
      <w:lvlJc w:val="left"/>
      <w:pPr>
        <w:ind w:left="0" w:firstLine="400"/>
      </w:pPr>
      <w:rPr>
        <w:rFonts w:hint="default"/>
      </w:rPr>
    </w:lvl>
  </w:abstractNum>
  <w:abstractNum w:abstractNumId="1">
    <w:nsid w:val="B948C808"/>
    <w:multiLevelType w:val="singleLevel"/>
    <w:tmpl w:val="B948C808"/>
    <w:lvl w:ilvl="0" w:tentative="0">
      <w:start w:val="1"/>
      <w:numFmt w:val="decimal"/>
      <w:lvlText w:val="(%1)"/>
      <w:lvlJc w:val="left"/>
      <w:pPr>
        <w:ind w:left="425" w:hanging="425"/>
      </w:pPr>
      <w:rPr>
        <w:rFonts w:hint="default"/>
      </w:rPr>
    </w:lvl>
  </w:abstractNum>
  <w:abstractNum w:abstractNumId="2">
    <w:nsid w:val="C7FE42A3"/>
    <w:multiLevelType w:val="singleLevel"/>
    <w:tmpl w:val="C7FE42A3"/>
    <w:lvl w:ilvl="0" w:tentative="0">
      <w:start w:val="1"/>
      <w:numFmt w:val="decimal"/>
      <w:suff w:val="nothing"/>
      <w:lvlText w:val="%1．"/>
      <w:lvlJc w:val="left"/>
      <w:pPr>
        <w:ind w:left="0" w:firstLine="400"/>
      </w:pPr>
      <w:rPr>
        <w:rFonts w:hint="default"/>
      </w:rPr>
    </w:lvl>
  </w:abstractNum>
  <w:abstractNum w:abstractNumId="3">
    <w:nsid w:val="CE1B5F71"/>
    <w:multiLevelType w:val="singleLevel"/>
    <w:tmpl w:val="CE1B5F71"/>
    <w:lvl w:ilvl="0" w:tentative="0">
      <w:start w:val="1"/>
      <w:numFmt w:val="chineseCounting"/>
      <w:suff w:val="nothing"/>
      <w:lvlText w:val="（%1）"/>
      <w:lvlJc w:val="left"/>
      <w:pPr>
        <w:ind w:left="0" w:firstLine="420"/>
      </w:pPr>
      <w:rPr>
        <w:rFonts w:hint="eastAsia"/>
      </w:rPr>
    </w:lvl>
  </w:abstractNum>
  <w:abstractNum w:abstractNumId="4">
    <w:nsid w:val="0FB85759"/>
    <w:multiLevelType w:val="singleLevel"/>
    <w:tmpl w:val="0FB85759"/>
    <w:lvl w:ilvl="0" w:tentative="0">
      <w:start w:val="1"/>
      <w:numFmt w:val="chineseCounting"/>
      <w:suff w:val="nothing"/>
      <w:lvlText w:val="（%1）"/>
      <w:lvlJc w:val="left"/>
      <w:pPr>
        <w:ind w:left="0" w:firstLine="420"/>
      </w:pPr>
      <w:rPr>
        <w:rFonts w:hint="eastAsia" w:ascii="楷体" w:hAnsi="楷体" w:eastAsia="楷体" w:cs="楷体"/>
        <w:sz w:val="32"/>
        <w:szCs w:val="32"/>
      </w:rPr>
    </w:lvl>
  </w:abstractNum>
  <w:abstractNum w:abstractNumId="5">
    <w:nsid w:val="7ADD2695"/>
    <w:multiLevelType w:val="singleLevel"/>
    <w:tmpl w:val="7ADD2695"/>
    <w:lvl w:ilvl="0" w:tentative="0">
      <w:start w:val="1"/>
      <w:numFmt w:val="decimal"/>
      <w:lvlText w:val="(%1)"/>
      <w:lvlJc w:val="left"/>
      <w:pPr>
        <w:ind w:left="425" w:hanging="425"/>
      </w:pPr>
      <w:rPr>
        <w:rFonts w:hint="default"/>
      </w:rPr>
    </w:lvl>
  </w:abstractNum>
  <w:num w:numId="1">
    <w:abstractNumId w:val="2"/>
  </w:num>
  <w:num w:numId="2">
    <w:abstractNumId w:val="5"/>
  </w:num>
  <w:num w:numId="3">
    <w:abstractNumId w:val="1"/>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640"/>
    <w:rsid w:val="00002D36"/>
    <w:rsid w:val="00003048"/>
    <w:rsid w:val="000059DF"/>
    <w:rsid w:val="000072E3"/>
    <w:rsid w:val="00012307"/>
    <w:rsid w:val="00012435"/>
    <w:rsid w:val="000161B8"/>
    <w:rsid w:val="00021D47"/>
    <w:rsid w:val="0002418A"/>
    <w:rsid w:val="000306FA"/>
    <w:rsid w:val="00030EA2"/>
    <w:rsid w:val="000340A7"/>
    <w:rsid w:val="000376D4"/>
    <w:rsid w:val="000377C7"/>
    <w:rsid w:val="00040A56"/>
    <w:rsid w:val="00040EAB"/>
    <w:rsid w:val="0005181D"/>
    <w:rsid w:val="00051A36"/>
    <w:rsid w:val="00052AA7"/>
    <w:rsid w:val="000560B6"/>
    <w:rsid w:val="000622A1"/>
    <w:rsid w:val="000627F9"/>
    <w:rsid w:val="00066244"/>
    <w:rsid w:val="00070942"/>
    <w:rsid w:val="00071181"/>
    <w:rsid w:val="00072327"/>
    <w:rsid w:val="0007292B"/>
    <w:rsid w:val="00072EBA"/>
    <w:rsid w:val="000740B3"/>
    <w:rsid w:val="000748F1"/>
    <w:rsid w:val="00080BC0"/>
    <w:rsid w:val="0008267A"/>
    <w:rsid w:val="000839BE"/>
    <w:rsid w:val="00083AAD"/>
    <w:rsid w:val="0009367B"/>
    <w:rsid w:val="0009431A"/>
    <w:rsid w:val="00094C6A"/>
    <w:rsid w:val="00094FFC"/>
    <w:rsid w:val="00095475"/>
    <w:rsid w:val="000A1E9E"/>
    <w:rsid w:val="000A4AC8"/>
    <w:rsid w:val="000A6D3C"/>
    <w:rsid w:val="000B3CB6"/>
    <w:rsid w:val="000B6200"/>
    <w:rsid w:val="000B7562"/>
    <w:rsid w:val="000B79E2"/>
    <w:rsid w:val="000C00FB"/>
    <w:rsid w:val="000C0E6F"/>
    <w:rsid w:val="000C2FCB"/>
    <w:rsid w:val="000C3063"/>
    <w:rsid w:val="000D0A28"/>
    <w:rsid w:val="000D15AF"/>
    <w:rsid w:val="000D1B4E"/>
    <w:rsid w:val="000D4EC2"/>
    <w:rsid w:val="000D7628"/>
    <w:rsid w:val="000E06E9"/>
    <w:rsid w:val="000E6C3B"/>
    <w:rsid w:val="000E6D08"/>
    <w:rsid w:val="000E7273"/>
    <w:rsid w:val="000F2AE2"/>
    <w:rsid w:val="001026B8"/>
    <w:rsid w:val="001049EB"/>
    <w:rsid w:val="001067B2"/>
    <w:rsid w:val="00107CE9"/>
    <w:rsid w:val="001104F7"/>
    <w:rsid w:val="0012136D"/>
    <w:rsid w:val="00121586"/>
    <w:rsid w:val="00123563"/>
    <w:rsid w:val="00123BE2"/>
    <w:rsid w:val="001252E1"/>
    <w:rsid w:val="00125843"/>
    <w:rsid w:val="00125F0D"/>
    <w:rsid w:val="00131146"/>
    <w:rsid w:val="001335E5"/>
    <w:rsid w:val="00133F54"/>
    <w:rsid w:val="00136E9D"/>
    <w:rsid w:val="00137959"/>
    <w:rsid w:val="001400CC"/>
    <w:rsid w:val="00140173"/>
    <w:rsid w:val="001420FA"/>
    <w:rsid w:val="001456B0"/>
    <w:rsid w:val="00147913"/>
    <w:rsid w:val="00152D1A"/>
    <w:rsid w:val="00152EB3"/>
    <w:rsid w:val="00154633"/>
    <w:rsid w:val="00154B9B"/>
    <w:rsid w:val="001568DC"/>
    <w:rsid w:val="00156D96"/>
    <w:rsid w:val="00157144"/>
    <w:rsid w:val="0016202D"/>
    <w:rsid w:val="00163B2F"/>
    <w:rsid w:val="001644E2"/>
    <w:rsid w:val="001675A6"/>
    <w:rsid w:val="00167B51"/>
    <w:rsid w:val="001714B2"/>
    <w:rsid w:val="001715BB"/>
    <w:rsid w:val="0018126D"/>
    <w:rsid w:val="001817F0"/>
    <w:rsid w:val="00182BB8"/>
    <w:rsid w:val="00185D1A"/>
    <w:rsid w:val="00187B7C"/>
    <w:rsid w:val="0019161D"/>
    <w:rsid w:val="00191FAD"/>
    <w:rsid w:val="00193350"/>
    <w:rsid w:val="001940CE"/>
    <w:rsid w:val="001A0C3E"/>
    <w:rsid w:val="001A3C0A"/>
    <w:rsid w:val="001A4630"/>
    <w:rsid w:val="001B0675"/>
    <w:rsid w:val="001B2C19"/>
    <w:rsid w:val="001B5522"/>
    <w:rsid w:val="001B5D00"/>
    <w:rsid w:val="001B6CDB"/>
    <w:rsid w:val="001C1AAD"/>
    <w:rsid w:val="001C3270"/>
    <w:rsid w:val="001C640C"/>
    <w:rsid w:val="001D0100"/>
    <w:rsid w:val="001D1AB7"/>
    <w:rsid w:val="001D31C2"/>
    <w:rsid w:val="001D35B8"/>
    <w:rsid w:val="001D5C10"/>
    <w:rsid w:val="001D5D0C"/>
    <w:rsid w:val="001E0DFB"/>
    <w:rsid w:val="001E16A2"/>
    <w:rsid w:val="001E3431"/>
    <w:rsid w:val="001E357B"/>
    <w:rsid w:val="001E487E"/>
    <w:rsid w:val="001E4D8F"/>
    <w:rsid w:val="001F16E1"/>
    <w:rsid w:val="001F6B9C"/>
    <w:rsid w:val="00200B41"/>
    <w:rsid w:val="002034B5"/>
    <w:rsid w:val="00203C24"/>
    <w:rsid w:val="00207814"/>
    <w:rsid w:val="002138AC"/>
    <w:rsid w:val="00215DD5"/>
    <w:rsid w:val="00216D27"/>
    <w:rsid w:val="0022042F"/>
    <w:rsid w:val="002245F4"/>
    <w:rsid w:val="00225C1F"/>
    <w:rsid w:val="00225CD0"/>
    <w:rsid w:val="00226740"/>
    <w:rsid w:val="002309CB"/>
    <w:rsid w:val="0023284F"/>
    <w:rsid w:val="0023296F"/>
    <w:rsid w:val="00232F5A"/>
    <w:rsid w:val="00233A65"/>
    <w:rsid w:val="002363B3"/>
    <w:rsid w:val="002366CE"/>
    <w:rsid w:val="00236714"/>
    <w:rsid w:val="002427DA"/>
    <w:rsid w:val="00245115"/>
    <w:rsid w:val="00251683"/>
    <w:rsid w:val="00252012"/>
    <w:rsid w:val="00254211"/>
    <w:rsid w:val="002542F5"/>
    <w:rsid w:val="002553D1"/>
    <w:rsid w:val="00260938"/>
    <w:rsid w:val="00262B6E"/>
    <w:rsid w:val="00263F7F"/>
    <w:rsid w:val="002652E3"/>
    <w:rsid w:val="00273354"/>
    <w:rsid w:val="0027385B"/>
    <w:rsid w:val="00274716"/>
    <w:rsid w:val="00280964"/>
    <w:rsid w:val="00287718"/>
    <w:rsid w:val="002921E9"/>
    <w:rsid w:val="0029501C"/>
    <w:rsid w:val="00295CB1"/>
    <w:rsid w:val="002A1286"/>
    <w:rsid w:val="002A213D"/>
    <w:rsid w:val="002A2364"/>
    <w:rsid w:val="002A3EE2"/>
    <w:rsid w:val="002A4F7F"/>
    <w:rsid w:val="002A5B71"/>
    <w:rsid w:val="002B393B"/>
    <w:rsid w:val="002B47AC"/>
    <w:rsid w:val="002B5604"/>
    <w:rsid w:val="002B5C30"/>
    <w:rsid w:val="002B5F5C"/>
    <w:rsid w:val="002B619F"/>
    <w:rsid w:val="002C0E0B"/>
    <w:rsid w:val="002C1A76"/>
    <w:rsid w:val="002C2B6C"/>
    <w:rsid w:val="002C3720"/>
    <w:rsid w:val="002C59D4"/>
    <w:rsid w:val="002C7342"/>
    <w:rsid w:val="002D076F"/>
    <w:rsid w:val="002D44EF"/>
    <w:rsid w:val="002E0F7F"/>
    <w:rsid w:val="002E2E02"/>
    <w:rsid w:val="002E30CF"/>
    <w:rsid w:val="002F47CB"/>
    <w:rsid w:val="002F561F"/>
    <w:rsid w:val="003010C4"/>
    <w:rsid w:val="00302455"/>
    <w:rsid w:val="00302DEF"/>
    <w:rsid w:val="00303B82"/>
    <w:rsid w:val="00304391"/>
    <w:rsid w:val="003043A5"/>
    <w:rsid w:val="00315CF0"/>
    <w:rsid w:val="003162D7"/>
    <w:rsid w:val="0031748C"/>
    <w:rsid w:val="003224D6"/>
    <w:rsid w:val="00325AE3"/>
    <w:rsid w:val="00332A23"/>
    <w:rsid w:val="003339BD"/>
    <w:rsid w:val="003358CE"/>
    <w:rsid w:val="00336C5B"/>
    <w:rsid w:val="003377C3"/>
    <w:rsid w:val="00340F2B"/>
    <w:rsid w:val="00342852"/>
    <w:rsid w:val="00343051"/>
    <w:rsid w:val="00344D4A"/>
    <w:rsid w:val="00346D7A"/>
    <w:rsid w:val="0035446E"/>
    <w:rsid w:val="00364E65"/>
    <w:rsid w:val="003670F9"/>
    <w:rsid w:val="00367913"/>
    <w:rsid w:val="00375CF0"/>
    <w:rsid w:val="0037712E"/>
    <w:rsid w:val="0038043A"/>
    <w:rsid w:val="0038085F"/>
    <w:rsid w:val="00386513"/>
    <w:rsid w:val="00386D32"/>
    <w:rsid w:val="003879F9"/>
    <w:rsid w:val="00392412"/>
    <w:rsid w:val="00393D1B"/>
    <w:rsid w:val="003950F7"/>
    <w:rsid w:val="00395E88"/>
    <w:rsid w:val="003971B4"/>
    <w:rsid w:val="00397B01"/>
    <w:rsid w:val="003A2D72"/>
    <w:rsid w:val="003A2E21"/>
    <w:rsid w:val="003B0492"/>
    <w:rsid w:val="003B0A2A"/>
    <w:rsid w:val="003B0D54"/>
    <w:rsid w:val="003B4767"/>
    <w:rsid w:val="003C08ED"/>
    <w:rsid w:val="003C2D95"/>
    <w:rsid w:val="003C5DA0"/>
    <w:rsid w:val="003C6A2C"/>
    <w:rsid w:val="003C72B4"/>
    <w:rsid w:val="003D0157"/>
    <w:rsid w:val="003D1A73"/>
    <w:rsid w:val="003D69EB"/>
    <w:rsid w:val="003D7BF9"/>
    <w:rsid w:val="003E0453"/>
    <w:rsid w:val="003E3D33"/>
    <w:rsid w:val="003E43EE"/>
    <w:rsid w:val="003F137A"/>
    <w:rsid w:val="003F63B3"/>
    <w:rsid w:val="003F68C3"/>
    <w:rsid w:val="003F758C"/>
    <w:rsid w:val="004018DB"/>
    <w:rsid w:val="00401C30"/>
    <w:rsid w:val="00406BDE"/>
    <w:rsid w:val="00412084"/>
    <w:rsid w:val="00412AE6"/>
    <w:rsid w:val="0041517D"/>
    <w:rsid w:val="00416135"/>
    <w:rsid w:val="004172C7"/>
    <w:rsid w:val="00426458"/>
    <w:rsid w:val="0042647F"/>
    <w:rsid w:val="00426926"/>
    <w:rsid w:val="004303AE"/>
    <w:rsid w:val="00432CD3"/>
    <w:rsid w:val="00435CDA"/>
    <w:rsid w:val="00435EBC"/>
    <w:rsid w:val="004440E0"/>
    <w:rsid w:val="0044481F"/>
    <w:rsid w:val="00447123"/>
    <w:rsid w:val="00451965"/>
    <w:rsid w:val="0045258B"/>
    <w:rsid w:val="00454837"/>
    <w:rsid w:val="004563BB"/>
    <w:rsid w:val="00456F8A"/>
    <w:rsid w:val="004574C2"/>
    <w:rsid w:val="00463801"/>
    <w:rsid w:val="004657B1"/>
    <w:rsid w:val="0046655D"/>
    <w:rsid w:val="004749D5"/>
    <w:rsid w:val="00482926"/>
    <w:rsid w:val="00484B39"/>
    <w:rsid w:val="004852DD"/>
    <w:rsid w:val="004918F1"/>
    <w:rsid w:val="00493A87"/>
    <w:rsid w:val="00494977"/>
    <w:rsid w:val="0049743C"/>
    <w:rsid w:val="004A7AC5"/>
    <w:rsid w:val="004B2F0E"/>
    <w:rsid w:val="004B7877"/>
    <w:rsid w:val="004C1F57"/>
    <w:rsid w:val="004C330C"/>
    <w:rsid w:val="004C343F"/>
    <w:rsid w:val="004C5E85"/>
    <w:rsid w:val="004C6C4F"/>
    <w:rsid w:val="004C6EDB"/>
    <w:rsid w:val="004D4197"/>
    <w:rsid w:val="004D492B"/>
    <w:rsid w:val="004D4968"/>
    <w:rsid w:val="004D5B0E"/>
    <w:rsid w:val="004D6F52"/>
    <w:rsid w:val="004E0A03"/>
    <w:rsid w:val="004E0DD1"/>
    <w:rsid w:val="004E6D7F"/>
    <w:rsid w:val="004E7E19"/>
    <w:rsid w:val="004F23DA"/>
    <w:rsid w:val="004F3568"/>
    <w:rsid w:val="004F4AA8"/>
    <w:rsid w:val="004F73F2"/>
    <w:rsid w:val="00503239"/>
    <w:rsid w:val="00504DDF"/>
    <w:rsid w:val="00505E3F"/>
    <w:rsid w:val="005079DA"/>
    <w:rsid w:val="00511C1C"/>
    <w:rsid w:val="00512357"/>
    <w:rsid w:val="005123B1"/>
    <w:rsid w:val="0051600F"/>
    <w:rsid w:val="00524D5E"/>
    <w:rsid w:val="005277B9"/>
    <w:rsid w:val="005412B5"/>
    <w:rsid w:val="00541651"/>
    <w:rsid w:val="00542D16"/>
    <w:rsid w:val="0054330A"/>
    <w:rsid w:val="0054343F"/>
    <w:rsid w:val="005451D2"/>
    <w:rsid w:val="00547016"/>
    <w:rsid w:val="0055025B"/>
    <w:rsid w:val="005505CD"/>
    <w:rsid w:val="00550B45"/>
    <w:rsid w:val="005513F7"/>
    <w:rsid w:val="0055794B"/>
    <w:rsid w:val="00557AE8"/>
    <w:rsid w:val="00563454"/>
    <w:rsid w:val="00567289"/>
    <w:rsid w:val="00571274"/>
    <w:rsid w:val="005713F0"/>
    <w:rsid w:val="005714E7"/>
    <w:rsid w:val="00572D09"/>
    <w:rsid w:val="0057352F"/>
    <w:rsid w:val="005813FF"/>
    <w:rsid w:val="00581BAD"/>
    <w:rsid w:val="00587A18"/>
    <w:rsid w:val="00587E98"/>
    <w:rsid w:val="00590FBD"/>
    <w:rsid w:val="005914B0"/>
    <w:rsid w:val="00591E46"/>
    <w:rsid w:val="00596712"/>
    <w:rsid w:val="005967FE"/>
    <w:rsid w:val="005A140D"/>
    <w:rsid w:val="005A4100"/>
    <w:rsid w:val="005A4C8F"/>
    <w:rsid w:val="005A658A"/>
    <w:rsid w:val="005A66A2"/>
    <w:rsid w:val="005B45C3"/>
    <w:rsid w:val="005B75F3"/>
    <w:rsid w:val="005C2096"/>
    <w:rsid w:val="005C585B"/>
    <w:rsid w:val="005D20CD"/>
    <w:rsid w:val="005E0E3A"/>
    <w:rsid w:val="005E1164"/>
    <w:rsid w:val="005E1338"/>
    <w:rsid w:val="005E166E"/>
    <w:rsid w:val="005E4756"/>
    <w:rsid w:val="005E4B74"/>
    <w:rsid w:val="005E5CB0"/>
    <w:rsid w:val="005F0F57"/>
    <w:rsid w:val="005F2F1A"/>
    <w:rsid w:val="005F434D"/>
    <w:rsid w:val="005F58DE"/>
    <w:rsid w:val="00612F76"/>
    <w:rsid w:val="006154EC"/>
    <w:rsid w:val="0061591C"/>
    <w:rsid w:val="006237FE"/>
    <w:rsid w:val="006255CD"/>
    <w:rsid w:val="006352AE"/>
    <w:rsid w:val="00647779"/>
    <w:rsid w:val="006478E2"/>
    <w:rsid w:val="006501EA"/>
    <w:rsid w:val="00651833"/>
    <w:rsid w:val="0065206B"/>
    <w:rsid w:val="006540E4"/>
    <w:rsid w:val="00655271"/>
    <w:rsid w:val="00655AE3"/>
    <w:rsid w:val="006600FB"/>
    <w:rsid w:val="006610A8"/>
    <w:rsid w:val="00661200"/>
    <w:rsid w:val="00673417"/>
    <w:rsid w:val="0067407E"/>
    <w:rsid w:val="00675EF0"/>
    <w:rsid w:val="00675F3A"/>
    <w:rsid w:val="00676E47"/>
    <w:rsid w:val="006771FD"/>
    <w:rsid w:val="00685E39"/>
    <w:rsid w:val="00693F8F"/>
    <w:rsid w:val="00697F8E"/>
    <w:rsid w:val="006A4D2C"/>
    <w:rsid w:val="006A6847"/>
    <w:rsid w:val="006A768C"/>
    <w:rsid w:val="006B0658"/>
    <w:rsid w:val="006B308D"/>
    <w:rsid w:val="006B4759"/>
    <w:rsid w:val="006B4873"/>
    <w:rsid w:val="006B5438"/>
    <w:rsid w:val="006B5ECE"/>
    <w:rsid w:val="006C243C"/>
    <w:rsid w:val="006D0E43"/>
    <w:rsid w:val="006D17A4"/>
    <w:rsid w:val="006D1D6A"/>
    <w:rsid w:val="006D28E9"/>
    <w:rsid w:val="006D3666"/>
    <w:rsid w:val="006D5540"/>
    <w:rsid w:val="006D5855"/>
    <w:rsid w:val="006D7964"/>
    <w:rsid w:val="006E0851"/>
    <w:rsid w:val="006E1A58"/>
    <w:rsid w:val="006E2AD1"/>
    <w:rsid w:val="006E2DDF"/>
    <w:rsid w:val="006E44C7"/>
    <w:rsid w:val="006E60F7"/>
    <w:rsid w:val="006E7516"/>
    <w:rsid w:val="006F4891"/>
    <w:rsid w:val="006F76BF"/>
    <w:rsid w:val="00703B19"/>
    <w:rsid w:val="00703FEA"/>
    <w:rsid w:val="00705187"/>
    <w:rsid w:val="00705F8C"/>
    <w:rsid w:val="00706976"/>
    <w:rsid w:val="00706C85"/>
    <w:rsid w:val="007109A1"/>
    <w:rsid w:val="0071338C"/>
    <w:rsid w:val="00716FA8"/>
    <w:rsid w:val="007208A1"/>
    <w:rsid w:val="00725908"/>
    <w:rsid w:val="00730326"/>
    <w:rsid w:val="007322FC"/>
    <w:rsid w:val="00732546"/>
    <w:rsid w:val="00734875"/>
    <w:rsid w:val="00734F6F"/>
    <w:rsid w:val="00735872"/>
    <w:rsid w:val="00746029"/>
    <w:rsid w:val="00747D23"/>
    <w:rsid w:val="00753E75"/>
    <w:rsid w:val="00757DA0"/>
    <w:rsid w:val="0076428C"/>
    <w:rsid w:val="007667D0"/>
    <w:rsid w:val="00770E24"/>
    <w:rsid w:val="0078053F"/>
    <w:rsid w:val="00780FED"/>
    <w:rsid w:val="00781A35"/>
    <w:rsid w:val="0078220F"/>
    <w:rsid w:val="00782FF4"/>
    <w:rsid w:val="00783258"/>
    <w:rsid w:val="007850B6"/>
    <w:rsid w:val="007856A6"/>
    <w:rsid w:val="007906F7"/>
    <w:rsid w:val="00792F08"/>
    <w:rsid w:val="00793756"/>
    <w:rsid w:val="00794829"/>
    <w:rsid w:val="00797498"/>
    <w:rsid w:val="007B137C"/>
    <w:rsid w:val="007B1DD9"/>
    <w:rsid w:val="007B2FE6"/>
    <w:rsid w:val="007C120A"/>
    <w:rsid w:val="007D0F34"/>
    <w:rsid w:val="007D39DF"/>
    <w:rsid w:val="007E0260"/>
    <w:rsid w:val="007E6289"/>
    <w:rsid w:val="007F274E"/>
    <w:rsid w:val="007F3DB0"/>
    <w:rsid w:val="007F4047"/>
    <w:rsid w:val="007F495E"/>
    <w:rsid w:val="007F6F61"/>
    <w:rsid w:val="00802D44"/>
    <w:rsid w:val="00803A24"/>
    <w:rsid w:val="00806614"/>
    <w:rsid w:val="008078E4"/>
    <w:rsid w:val="008079CC"/>
    <w:rsid w:val="00807EF4"/>
    <w:rsid w:val="00811AB6"/>
    <w:rsid w:val="00816A51"/>
    <w:rsid w:val="00817715"/>
    <w:rsid w:val="0082316F"/>
    <w:rsid w:val="0083553F"/>
    <w:rsid w:val="008357AB"/>
    <w:rsid w:val="0085105A"/>
    <w:rsid w:val="008515CC"/>
    <w:rsid w:val="00855A38"/>
    <w:rsid w:val="0085673B"/>
    <w:rsid w:val="008579D7"/>
    <w:rsid w:val="0086320B"/>
    <w:rsid w:val="008634DB"/>
    <w:rsid w:val="00863901"/>
    <w:rsid w:val="00865FF2"/>
    <w:rsid w:val="00867B3B"/>
    <w:rsid w:val="00872EFA"/>
    <w:rsid w:val="00873A75"/>
    <w:rsid w:val="00873FC6"/>
    <w:rsid w:val="008741EE"/>
    <w:rsid w:val="008802DF"/>
    <w:rsid w:val="00880815"/>
    <w:rsid w:val="00882CE8"/>
    <w:rsid w:val="008836F3"/>
    <w:rsid w:val="00883EFB"/>
    <w:rsid w:val="008850B9"/>
    <w:rsid w:val="0089584E"/>
    <w:rsid w:val="00896163"/>
    <w:rsid w:val="008A233D"/>
    <w:rsid w:val="008A286F"/>
    <w:rsid w:val="008A2F6B"/>
    <w:rsid w:val="008A6786"/>
    <w:rsid w:val="008B048E"/>
    <w:rsid w:val="008B225D"/>
    <w:rsid w:val="008B4A48"/>
    <w:rsid w:val="008B4C8E"/>
    <w:rsid w:val="008C5209"/>
    <w:rsid w:val="008C53AA"/>
    <w:rsid w:val="008C6EC4"/>
    <w:rsid w:val="008C78E5"/>
    <w:rsid w:val="008D1292"/>
    <w:rsid w:val="008D2FE6"/>
    <w:rsid w:val="008E24CC"/>
    <w:rsid w:val="008E4206"/>
    <w:rsid w:val="008E523D"/>
    <w:rsid w:val="008E64BA"/>
    <w:rsid w:val="008E6C01"/>
    <w:rsid w:val="008F1D5E"/>
    <w:rsid w:val="008F2662"/>
    <w:rsid w:val="008F47D7"/>
    <w:rsid w:val="00903D62"/>
    <w:rsid w:val="009068F0"/>
    <w:rsid w:val="00906DC3"/>
    <w:rsid w:val="0090718C"/>
    <w:rsid w:val="0091396C"/>
    <w:rsid w:val="009147FE"/>
    <w:rsid w:val="00915B2C"/>
    <w:rsid w:val="009217A1"/>
    <w:rsid w:val="00922732"/>
    <w:rsid w:val="009227B1"/>
    <w:rsid w:val="009267ED"/>
    <w:rsid w:val="0092773F"/>
    <w:rsid w:val="00934FD7"/>
    <w:rsid w:val="00937769"/>
    <w:rsid w:val="009416CA"/>
    <w:rsid w:val="00941E42"/>
    <w:rsid w:val="0094215F"/>
    <w:rsid w:val="009424FB"/>
    <w:rsid w:val="00946B84"/>
    <w:rsid w:val="0095274B"/>
    <w:rsid w:val="00957003"/>
    <w:rsid w:val="00957C65"/>
    <w:rsid w:val="0096111C"/>
    <w:rsid w:val="00965583"/>
    <w:rsid w:val="00967141"/>
    <w:rsid w:val="00972483"/>
    <w:rsid w:val="009727EC"/>
    <w:rsid w:val="00973680"/>
    <w:rsid w:val="00973F1E"/>
    <w:rsid w:val="009757BF"/>
    <w:rsid w:val="00976342"/>
    <w:rsid w:val="009764C8"/>
    <w:rsid w:val="00977D78"/>
    <w:rsid w:val="00982CA6"/>
    <w:rsid w:val="00991103"/>
    <w:rsid w:val="00991767"/>
    <w:rsid w:val="00997264"/>
    <w:rsid w:val="009A2E19"/>
    <w:rsid w:val="009A2EC9"/>
    <w:rsid w:val="009A68D5"/>
    <w:rsid w:val="009A6E5B"/>
    <w:rsid w:val="009B091B"/>
    <w:rsid w:val="009B2FD5"/>
    <w:rsid w:val="009B4CBF"/>
    <w:rsid w:val="009B6820"/>
    <w:rsid w:val="009B7251"/>
    <w:rsid w:val="009B7CAE"/>
    <w:rsid w:val="009D22BE"/>
    <w:rsid w:val="009D2A16"/>
    <w:rsid w:val="009D2C35"/>
    <w:rsid w:val="009D57CA"/>
    <w:rsid w:val="009D69D7"/>
    <w:rsid w:val="009E3BC8"/>
    <w:rsid w:val="009E59FF"/>
    <w:rsid w:val="009F223F"/>
    <w:rsid w:val="009F2878"/>
    <w:rsid w:val="00A02537"/>
    <w:rsid w:val="00A03145"/>
    <w:rsid w:val="00A03A1D"/>
    <w:rsid w:val="00A06392"/>
    <w:rsid w:val="00A06F72"/>
    <w:rsid w:val="00A12660"/>
    <w:rsid w:val="00A12F2C"/>
    <w:rsid w:val="00A140BA"/>
    <w:rsid w:val="00A1728B"/>
    <w:rsid w:val="00A26D5F"/>
    <w:rsid w:val="00A27AEE"/>
    <w:rsid w:val="00A30478"/>
    <w:rsid w:val="00A3356E"/>
    <w:rsid w:val="00A33920"/>
    <w:rsid w:val="00A40030"/>
    <w:rsid w:val="00A4160E"/>
    <w:rsid w:val="00A41BE8"/>
    <w:rsid w:val="00A4201D"/>
    <w:rsid w:val="00A51D13"/>
    <w:rsid w:val="00A52758"/>
    <w:rsid w:val="00A57EAA"/>
    <w:rsid w:val="00A626B2"/>
    <w:rsid w:val="00A63540"/>
    <w:rsid w:val="00A6440D"/>
    <w:rsid w:val="00A65459"/>
    <w:rsid w:val="00A6708C"/>
    <w:rsid w:val="00A73004"/>
    <w:rsid w:val="00A73416"/>
    <w:rsid w:val="00A766BE"/>
    <w:rsid w:val="00A76B8C"/>
    <w:rsid w:val="00A802D7"/>
    <w:rsid w:val="00A8040D"/>
    <w:rsid w:val="00A92E38"/>
    <w:rsid w:val="00A93D3A"/>
    <w:rsid w:val="00A94B90"/>
    <w:rsid w:val="00A95823"/>
    <w:rsid w:val="00AA0E48"/>
    <w:rsid w:val="00AA2080"/>
    <w:rsid w:val="00AA6DBA"/>
    <w:rsid w:val="00AA6FE3"/>
    <w:rsid w:val="00AB2A54"/>
    <w:rsid w:val="00AB2FDC"/>
    <w:rsid w:val="00AB5D2F"/>
    <w:rsid w:val="00AC0F9D"/>
    <w:rsid w:val="00AC222A"/>
    <w:rsid w:val="00AC5B14"/>
    <w:rsid w:val="00AC6CBC"/>
    <w:rsid w:val="00AD039E"/>
    <w:rsid w:val="00AD2B15"/>
    <w:rsid w:val="00AD2BC9"/>
    <w:rsid w:val="00AD64AD"/>
    <w:rsid w:val="00AD67FE"/>
    <w:rsid w:val="00AD724B"/>
    <w:rsid w:val="00AD79FA"/>
    <w:rsid w:val="00AE125A"/>
    <w:rsid w:val="00AE1B7A"/>
    <w:rsid w:val="00AE21A2"/>
    <w:rsid w:val="00AE3747"/>
    <w:rsid w:val="00AE78C1"/>
    <w:rsid w:val="00AF3921"/>
    <w:rsid w:val="00AF74DE"/>
    <w:rsid w:val="00B00E4A"/>
    <w:rsid w:val="00B02603"/>
    <w:rsid w:val="00B02BCF"/>
    <w:rsid w:val="00B0544C"/>
    <w:rsid w:val="00B0650B"/>
    <w:rsid w:val="00B22CE2"/>
    <w:rsid w:val="00B23FEA"/>
    <w:rsid w:val="00B2409A"/>
    <w:rsid w:val="00B30BC0"/>
    <w:rsid w:val="00B328AB"/>
    <w:rsid w:val="00B36A7A"/>
    <w:rsid w:val="00B41F33"/>
    <w:rsid w:val="00B45E83"/>
    <w:rsid w:val="00B475FC"/>
    <w:rsid w:val="00B5136B"/>
    <w:rsid w:val="00B5324C"/>
    <w:rsid w:val="00B54F1E"/>
    <w:rsid w:val="00B56E59"/>
    <w:rsid w:val="00B64F06"/>
    <w:rsid w:val="00B65189"/>
    <w:rsid w:val="00B70D40"/>
    <w:rsid w:val="00B7595F"/>
    <w:rsid w:val="00B77CAB"/>
    <w:rsid w:val="00B80AE5"/>
    <w:rsid w:val="00B81832"/>
    <w:rsid w:val="00B86ACE"/>
    <w:rsid w:val="00B878E5"/>
    <w:rsid w:val="00B87E27"/>
    <w:rsid w:val="00B90054"/>
    <w:rsid w:val="00B941EF"/>
    <w:rsid w:val="00B9568B"/>
    <w:rsid w:val="00BA3B0E"/>
    <w:rsid w:val="00BA5EFB"/>
    <w:rsid w:val="00BA6FE5"/>
    <w:rsid w:val="00BB0D6D"/>
    <w:rsid w:val="00BB0E1D"/>
    <w:rsid w:val="00BB3495"/>
    <w:rsid w:val="00BB3BBF"/>
    <w:rsid w:val="00BC0984"/>
    <w:rsid w:val="00BC333B"/>
    <w:rsid w:val="00BC36EC"/>
    <w:rsid w:val="00BC6E47"/>
    <w:rsid w:val="00BC7114"/>
    <w:rsid w:val="00BC7DF7"/>
    <w:rsid w:val="00BD04A6"/>
    <w:rsid w:val="00BD1416"/>
    <w:rsid w:val="00BD27D8"/>
    <w:rsid w:val="00BD3CF1"/>
    <w:rsid w:val="00BD6490"/>
    <w:rsid w:val="00BD7453"/>
    <w:rsid w:val="00BE081F"/>
    <w:rsid w:val="00BE2381"/>
    <w:rsid w:val="00BE33CD"/>
    <w:rsid w:val="00BE72DF"/>
    <w:rsid w:val="00BF0F5F"/>
    <w:rsid w:val="00BF57B6"/>
    <w:rsid w:val="00BF5C80"/>
    <w:rsid w:val="00BF6165"/>
    <w:rsid w:val="00C00142"/>
    <w:rsid w:val="00C013D3"/>
    <w:rsid w:val="00C018FC"/>
    <w:rsid w:val="00C02392"/>
    <w:rsid w:val="00C109AC"/>
    <w:rsid w:val="00C11248"/>
    <w:rsid w:val="00C13CB9"/>
    <w:rsid w:val="00C1424E"/>
    <w:rsid w:val="00C143AC"/>
    <w:rsid w:val="00C15728"/>
    <w:rsid w:val="00C16F91"/>
    <w:rsid w:val="00C233D3"/>
    <w:rsid w:val="00C245FC"/>
    <w:rsid w:val="00C24A4C"/>
    <w:rsid w:val="00C26046"/>
    <w:rsid w:val="00C26704"/>
    <w:rsid w:val="00C26E08"/>
    <w:rsid w:val="00C3141A"/>
    <w:rsid w:val="00C33A50"/>
    <w:rsid w:val="00C34242"/>
    <w:rsid w:val="00C4088E"/>
    <w:rsid w:val="00C41DD6"/>
    <w:rsid w:val="00C429F3"/>
    <w:rsid w:val="00C43F71"/>
    <w:rsid w:val="00C4417C"/>
    <w:rsid w:val="00C5314B"/>
    <w:rsid w:val="00C55473"/>
    <w:rsid w:val="00C57467"/>
    <w:rsid w:val="00C622AC"/>
    <w:rsid w:val="00C65288"/>
    <w:rsid w:val="00C718A8"/>
    <w:rsid w:val="00C73912"/>
    <w:rsid w:val="00C75149"/>
    <w:rsid w:val="00C80C00"/>
    <w:rsid w:val="00C814ED"/>
    <w:rsid w:val="00C818BF"/>
    <w:rsid w:val="00C90CE3"/>
    <w:rsid w:val="00C90E21"/>
    <w:rsid w:val="00C94C39"/>
    <w:rsid w:val="00CA2AC0"/>
    <w:rsid w:val="00CA3DA7"/>
    <w:rsid w:val="00CA4C90"/>
    <w:rsid w:val="00CA59CD"/>
    <w:rsid w:val="00CA6361"/>
    <w:rsid w:val="00CB046B"/>
    <w:rsid w:val="00CB4CB1"/>
    <w:rsid w:val="00CB6E25"/>
    <w:rsid w:val="00CB7F21"/>
    <w:rsid w:val="00CC24C8"/>
    <w:rsid w:val="00CC638C"/>
    <w:rsid w:val="00CD072D"/>
    <w:rsid w:val="00CD0B6B"/>
    <w:rsid w:val="00CD2EE1"/>
    <w:rsid w:val="00CE04BD"/>
    <w:rsid w:val="00CE158C"/>
    <w:rsid w:val="00CE29AC"/>
    <w:rsid w:val="00CE3FD4"/>
    <w:rsid w:val="00CE4C3C"/>
    <w:rsid w:val="00CF076E"/>
    <w:rsid w:val="00CF1EA6"/>
    <w:rsid w:val="00CF5E9F"/>
    <w:rsid w:val="00CF769B"/>
    <w:rsid w:val="00D00C5A"/>
    <w:rsid w:val="00D05266"/>
    <w:rsid w:val="00D0670D"/>
    <w:rsid w:val="00D06A29"/>
    <w:rsid w:val="00D06B72"/>
    <w:rsid w:val="00D07281"/>
    <w:rsid w:val="00D10E90"/>
    <w:rsid w:val="00D15672"/>
    <w:rsid w:val="00D25593"/>
    <w:rsid w:val="00D26964"/>
    <w:rsid w:val="00D26CC7"/>
    <w:rsid w:val="00D35368"/>
    <w:rsid w:val="00D379FF"/>
    <w:rsid w:val="00D420C8"/>
    <w:rsid w:val="00D42A19"/>
    <w:rsid w:val="00D45205"/>
    <w:rsid w:val="00D460C7"/>
    <w:rsid w:val="00D46AF1"/>
    <w:rsid w:val="00D5763A"/>
    <w:rsid w:val="00D606C3"/>
    <w:rsid w:val="00D60895"/>
    <w:rsid w:val="00D60D35"/>
    <w:rsid w:val="00D616BB"/>
    <w:rsid w:val="00D63A14"/>
    <w:rsid w:val="00D642DD"/>
    <w:rsid w:val="00D6558A"/>
    <w:rsid w:val="00D756D6"/>
    <w:rsid w:val="00D7595A"/>
    <w:rsid w:val="00D7601B"/>
    <w:rsid w:val="00D829E3"/>
    <w:rsid w:val="00D914D1"/>
    <w:rsid w:val="00D925CC"/>
    <w:rsid w:val="00D935ED"/>
    <w:rsid w:val="00DA2D0F"/>
    <w:rsid w:val="00DA47AC"/>
    <w:rsid w:val="00DA57A6"/>
    <w:rsid w:val="00DA6FC4"/>
    <w:rsid w:val="00DA7509"/>
    <w:rsid w:val="00DB081B"/>
    <w:rsid w:val="00DC4141"/>
    <w:rsid w:val="00DC4BAD"/>
    <w:rsid w:val="00DC66A8"/>
    <w:rsid w:val="00DC77AF"/>
    <w:rsid w:val="00DD017F"/>
    <w:rsid w:val="00DD24A0"/>
    <w:rsid w:val="00DD42D5"/>
    <w:rsid w:val="00DD7321"/>
    <w:rsid w:val="00DE24AA"/>
    <w:rsid w:val="00DE5C16"/>
    <w:rsid w:val="00DE7AD7"/>
    <w:rsid w:val="00DF0A20"/>
    <w:rsid w:val="00DF20A5"/>
    <w:rsid w:val="00DF2891"/>
    <w:rsid w:val="00DF2B4E"/>
    <w:rsid w:val="00DF3C45"/>
    <w:rsid w:val="00DF42E4"/>
    <w:rsid w:val="00E01040"/>
    <w:rsid w:val="00E019BA"/>
    <w:rsid w:val="00E06FC4"/>
    <w:rsid w:val="00E137FC"/>
    <w:rsid w:val="00E1720D"/>
    <w:rsid w:val="00E17CE7"/>
    <w:rsid w:val="00E23519"/>
    <w:rsid w:val="00E25E78"/>
    <w:rsid w:val="00E26B18"/>
    <w:rsid w:val="00E27E76"/>
    <w:rsid w:val="00E30078"/>
    <w:rsid w:val="00E30711"/>
    <w:rsid w:val="00E31227"/>
    <w:rsid w:val="00E31FF2"/>
    <w:rsid w:val="00E4247A"/>
    <w:rsid w:val="00E43975"/>
    <w:rsid w:val="00E453E1"/>
    <w:rsid w:val="00E46D9A"/>
    <w:rsid w:val="00E47391"/>
    <w:rsid w:val="00E476DD"/>
    <w:rsid w:val="00E574F6"/>
    <w:rsid w:val="00E57BBC"/>
    <w:rsid w:val="00E62DA0"/>
    <w:rsid w:val="00E715DC"/>
    <w:rsid w:val="00E720C5"/>
    <w:rsid w:val="00E736DD"/>
    <w:rsid w:val="00E749CF"/>
    <w:rsid w:val="00E751D8"/>
    <w:rsid w:val="00E76BC4"/>
    <w:rsid w:val="00E9456F"/>
    <w:rsid w:val="00E94B05"/>
    <w:rsid w:val="00E95D75"/>
    <w:rsid w:val="00E974B3"/>
    <w:rsid w:val="00EB0282"/>
    <w:rsid w:val="00EB0395"/>
    <w:rsid w:val="00EB0AB5"/>
    <w:rsid w:val="00EB1580"/>
    <w:rsid w:val="00EB3DF3"/>
    <w:rsid w:val="00EC1BBC"/>
    <w:rsid w:val="00EC4309"/>
    <w:rsid w:val="00EC453D"/>
    <w:rsid w:val="00EC506F"/>
    <w:rsid w:val="00EC5088"/>
    <w:rsid w:val="00EC7A81"/>
    <w:rsid w:val="00ED0774"/>
    <w:rsid w:val="00ED1D96"/>
    <w:rsid w:val="00ED280D"/>
    <w:rsid w:val="00EE0B04"/>
    <w:rsid w:val="00EE1A74"/>
    <w:rsid w:val="00EE4320"/>
    <w:rsid w:val="00EE4544"/>
    <w:rsid w:val="00EE49E8"/>
    <w:rsid w:val="00EE6B98"/>
    <w:rsid w:val="00EF2588"/>
    <w:rsid w:val="00EF2EDD"/>
    <w:rsid w:val="00EF5E02"/>
    <w:rsid w:val="00EF67C1"/>
    <w:rsid w:val="00EF6EBB"/>
    <w:rsid w:val="00EF7268"/>
    <w:rsid w:val="00EF75F6"/>
    <w:rsid w:val="00F01535"/>
    <w:rsid w:val="00F01C5D"/>
    <w:rsid w:val="00F020A9"/>
    <w:rsid w:val="00F07445"/>
    <w:rsid w:val="00F11BF2"/>
    <w:rsid w:val="00F12ACB"/>
    <w:rsid w:val="00F14864"/>
    <w:rsid w:val="00F15D9E"/>
    <w:rsid w:val="00F214A0"/>
    <w:rsid w:val="00F233C1"/>
    <w:rsid w:val="00F33E92"/>
    <w:rsid w:val="00F4378E"/>
    <w:rsid w:val="00F500B7"/>
    <w:rsid w:val="00F53018"/>
    <w:rsid w:val="00F539BC"/>
    <w:rsid w:val="00F611BC"/>
    <w:rsid w:val="00F61B44"/>
    <w:rsid w:val="00F6292C"/>
    <w:rsid w:val="00F66D20"/>
    <w:rsid w:val="00F73728"/>
    <w:rsid w:val="00F74A53"/>
    <w:rsid w:val="00F74B5A"/>
    <w:rsid w:val="00F7724D"/>
    <w:rsid w:val="00F862E6"/>
    <w:rsid w:val="00F86856"/>
    <w:rsid w:val="00F878A8"/>
    <w:rsid w:val="00F920E8"/>
    <w:rsid w:val="00F92F87"/>
    <w:rsid w:val="00F952F2"/>
    <w:rsid w:val="00FA140A"/>
    <w:rsid w:val="00FA308D"/>
    <w:rsid w:val="00FA48A7"/>
    <w:rsid w:val="00FA5EDD"/>
    <w:rsid w:val="00FB13E3"/>
    <w:rsid w:val="00FB1939"/>
    <w:rsid w:val="00FB26E8"/>
    <w:rsid w:val="00FB3900"/>
    <w:rsid w:val="00FB4655"/>
    <w:rsid w:val="00FB7017"/>
    <w:rsid w:val="00FC2EE5"/>
    <w:rsid w:val="00FC429A"/>
    <w:rsid w:val="00FC4A78"/>
    <w:rsid w:val="00FD3662"/>
    <w:rsid w:val="00FD4046"/>
    <w:rsid w:val="00FD6EE9"/>
    <w:rsid w:val="00FD7C58"/>
    <w:rsid w:val="00FE13AD"/>
    <w:rsid w:val="00FE22A6"/>
    <w:rsid w:val="00FF0397"/>
    <w:rsid w:val="00FF0640"/>
    <w:rsid w:val="00FF0787"/>
    <w:rsid w:val="00FF1BF7"/>
    <w:rsid w:val="00FF238B"/>
    <w:rsid w:val="00FF46AE"/>
    <w:rsid w:val="00FF5120"/>
    <w:rsid w:val="00FF7CCE"/>
    <w:rsid w:val="07A07A91"/>
    <w:rsid w:val="07BF6290"/>
    <w:rsid w:val="0D847672"/>
    <w:rsid w:val="0EFA044C"/>
    <w:rsid w:val="12266F4A"/>
    <w:rsid w:val="12BC3C2C"/>
    <w:rsid w:val="13496C17"/>
    <w:rsid w:val="155339E1"/>
    <w:rsid w:val="166A2F55"/>
    <w:rsid w:val="17546308"/>
    <w:rsid w:val="1A0F29BA"/>
    <w:rsid w:val="1A515AD2"/>
    <w:rsid w:val="1AA55149"/>
    <w:rsid w:val="1CF57C45"/>
    <w:rsid w:val="1DFD14A7"/>
    <w:rsid w:val="207D181D"/>
    <w:rsid w:val="22596234"/>
    <w:rsid w:val="24232B82"/>
    <w:rsid w:val="25A65D6C"/>
    <w:rsid w:val="2755738A"/>
    <w:rsid w:val="28003A63"/>
    <w:rsid w:val="296D0CD1"/>
    <w:rsid w:val="2F5707D5"/>
    <w:rsid w:val="327B7F24"/>
    <w:rsid w:val="364F4412"/>
    <w:rsid w:val="367F6A2B"/>
    <w:rsid w:val="375E74A2"/>
    <w:rsid w:val="37701F94"/>
    <w:rsid w:val="414A5F02"/>
    <w:rsid w:val="43401B4B"/>
    <w:rsid w:val="46827EEC"/>
    <w:rsid w:val="46FE3A16"/>
    <w:rsid w:val="48BE6E8F"/>
    <w:rsid w:val="50ED3E64"/>
    <w:rsid w:val="5119144D"/>
    <w:rsid w:val="526F57C8"/>
    <w:rsid w:val="54645B74"/>
    <w:rsid w:val="564F224B"/>
    <w:rsid w:val="566E1913"/>
    <w:rsid w:val="594B0611"/>
    <w:rsid w:val="5EC710E8"/>
    <w:rsid w:val="5EE40830"/>
    <w:rsid w:val="61D03DA9"/>
    <w:rsid w:val="61F338B3"/>
    <w:rsid w:val="62E8480D"/>
    <w:rsid w:val="638C4E65"/>
    <w:rsid w:val="65D774B5"/>
    <w:rsid w:val="67A56F89"/>
    <w:rsid w:val="6D567580"/>
    <w:rsid w:val="6F725C30"/>
    <w:rsid w:val="70B2124A"/>
    <w:rsid w:val="7A831561"/>
    <w:rsid w:val="7FE14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line="360" w:lineRule="auto"/>
      <w:outlineLvl w:val="0"/>
    </w:pPr>
    <w:rPr>
      <w:rFonts w:eastAsia="宋体"/>
      <w:b/>
      <w:bCs/>
      <w:kern w:val="44"/>
      <w:sz w:val="28"/>
      <w:szCs w:val="44"/>
    </w:rPr>
  </w:style>
  <w:style w:type="paragraph" w:styleId="3">
    <w:name w:val="heading 2"/>
    <w:basedOn w:val="1"/>
    <w:next w:val="1"/>
    <w:link w:val="20"/>
    <w:unhideWhenUsed/>
    <w:qFormat/>
    <w:uiPriority w:val="9"/>
    <w:pPr>
      <w:keepNext/>
      <w:keepLines/>
      <w:spacing w:line="360" w:lineRule="auto"/>
      <w:outlineLvl w:val="1"/>
    </w:pPr>
    <w:rPr>
      <w:rFonts w:eastAsia="宋体" w:asciiTheme="majorHAnsi" w:hAnsiTheme="majorHAnsi" w:cstheme="majorBidi"/>
      <w:b/>
      <w:bCs/>
      <w:sz w:val="24"/>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4"/>
    <w:semiHidden/>
    <w:unhideWhenUsed/>
    <w:qFormat/>
    <w:uiPriority w:val="99"/>
    <w:pPr>
      <w:jc w:val="left"/>
    </w:pPr>
  </w:style>
  <w:style w:type="paragraph" w:styleId="5">
    <w:name w:val="Body Text"/>
    <w:basedOn w:val="1"/>
    <w:qFormat/>
    <w:uiPriority w:val="0"/>
    <w:pPr>
      <w:spacing w:after="120"/>
    </w:pPr>
  </w:style>
  <w:style w:type="paragraph" w:styleId="6">
    <w:name w:val="Balloon Text"/>
    <w:basedOn w:val="1"/>
    <w:link w:val="18"/>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25"/>
    <w:semiHidden/>
    <w:unhideWhenUsed/>
    <w:qFormat/>
    <w:uiPriority w:val="99"/>
    <w:rPr>
      <w:b/>
      <w:bCs/>
    </w:rPr>
  </w:style>
  <w:style w:type="table" w:styleId="11">
    <w:name w:val="Table Grid"/>
    <w:basedOn w:val="10"/>
    <w:qFormat/>
    <w:uiPriority w:val="3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styleId="14">
    <w:name w:val="annotation reference"/>
    <w:basedOn w:val="12"/>
    <w:semiHidden/>
    <w:unhideWhenUsed/>
    <w:qFormat/>
    <w:uiPriority w:val="99"/>
    <w:rPr>
      <w:sz w:val="21"/>
      <w:szCs w:val="21"/>
    </w:rPr>
  </w:style>
  <w:style w:type="paragraph" w:styleId="15">
    <w:name w:val="List Paragraph"/>
    <w:basedOn w:val="1"/>
    <w:qFormat/>
    <w:uiPriority w:val="34"/>
    <w:pPr>
      <w:ind w:firstLine="420" w:firstLineChars="200"/>
    </w:pPr>
  </w:style>
  <w:style w:type="character" w:customStyle="1" w:styleId="16">
    <w:name w:val="页眉 字符"/>
    <w:basedOn w:val="12"/>
    <w:link w:val="8"/>
    <w:qFormat/>
    <w:uiPriority w:val="99"/>
    <w:rPr>
      <w:sz w:val="18"/>
      <w:szCs w:val="18"/>
    </w:rPr>
  </w:style>
  <w:style w:type="character" w:customStyle="1" w:styleId="17">
    <w:name w:val="页脚 字符"/>
    <w:basedOn w:val="12"/>
    <w:link w:val="7"/>
    <w:qFormat/>
    <w:uiPriority w:val="99"/>
    <w:rPr>
      <w:sz w:val="18"/>
      <w:szCs w:val="18"/>
    </w:rPr>
  </w:style>
  <w:style w:type="character" w:customStyle="1" w:styleId="18">
    <w:name w:val="批注框文本 字符"/>
    <w:basedOn w:val="12"/>
    <w:link w:val="6"/>
    <w:semiHidden/>
    <w:qFormat/>
    <w:uiPriority w:val="99"/>
    <w:rPr>
      <w:sz w:val="18"/>
      <w:szCs w:val="18"/>
    </w:rPr>
  </w:style>
  <w:style w:type="character" w:customStyle="1" w:styleId="19">
    <w:name w:val="标题 1 字符"/>
    <w:basedOn w:val="12"/>
    <w:link w:val="2"/>
    <w:qFormat/>
    <w:uiPriority w:val="9"/>
    <w:rPr>
      <w:rFonts w:eastAsia="宋体"/>
      <w:b/>
      <w:bCs/>
      <w:kern w:val="44"/>
      <w:sz w:val="28"/>
      <w:szCs w:val="44"/>
    </w:rPr>
  </w:style>
  <w:style w:type="character" w:customStyle="1" w:styleId="20">
    <w:name w:val="标题 2 字符"/>
    <w:basedOn w:val="12"/>
    <w:link w:val="3"/>
    <w:qFormat/>
    <w:uiPriority w:val="9"/>
    <w:rPr>
      <w:rFonts w:eastAsia="宋体" w:asciiTheme="majorHAnsi" w:hAnsiTheme="majorHAnsi" w:cstheme="majorBidi"/>
      <w:b/>
      <w:bCs/>
      <w:sz w:val="24"/>
      <w:szCs w:val="32"/>
    </w:rPr>
  </w:style>
  <w:style w:type="paragraph" w:customStyle="1" w:styleId="21">
    <w:name w:val="字元 字元"/>
    <w:basedOn w:val="1"/>
    <w:qFormat/>
    <w:uiPriority w:val="0"/>
    <w:pPr>
      <w:widowControl/>
      <w:spacing w:after="160" w:line="240" w:lineRule="exact"/>
      <w:jc w:val="left"/>
    </w:pPr>
    <w:rPr>
      <w:rFonts w:ascii="Verdana" w:hAnsi="Verdana" w:eastAsia="宋体" w:cs="Verdana"/>
      <w:kern w:val="0"/>
      <w:sz w:val="20"/>
      <w:szCs w:val="20"/>
      <w:lang w:eastAsia="en-US"/>
    </w:rPr>
  </w:style>
  <w:style w:type="paragraph" w:customStyle="1" w:styleId="22">
    <w:name w:val="招股书正文1"/>
    <w:basedOn w:val="1"/>
    <w:link w:val="23"/>
    <w:qFormat/>
    <w:uiPriority w:val="0"/>
    <w:pPr>
      <w:adjustRightInd w:val="0"/>
      <w:spacing w:before="156" w:beforeLines="50" w:after="156" w:afterLines="50" w:line="360" w:lineRule="auto"/>
      <w:ind w:firstLine="480" w:firstLineChars="200"/>
    </w:pPr>
    <w:rPr>
      <w:rFonts w:ascii="Times New Roman" w:hAnsi="Times New Roman" w:eastAsia="宋体" w:cs="Times New Roman"/>
      <w:sz w:val="24"/>
    </w:rPr>
  </w:style>
  <w:style w:type="character" w:customStyle="1" w:styleId="23">
    <w:name w:val="招股书正文1 字符"/>
    <w:link w:val="22"/>
    <w:qFormat/>
    <w:uiPriority w:val="0"/>
    <w:rPr>
      <w:rFonts w:ascii="Times New Roman" w:hAnsi="Times New Roman" w:eastAsia="宋体" w:cs="Times New Roman"/>
      <w:sz w:val="24"/>
    </w:rPr>
  </w:style>
  <w:style w:type="character" w:customStyle="1" w:styleId="24">
    <w:name w:val="批注文字 字符"/>
    <w:basedOn w:val="12"/>
    <w:link w:val="4"/>
    <w:semiHidden/>
    <w:qFormat/>
    <w:uiPriority w:val="99"/>
  </w:style>
  <w:style w:type="character" w:customStyle="1" w:styleId="25">
    <w:name w:val="批注主题 字符"/>
    <w:basedOn w:val="24"/>
    <w:link w:val="9"/>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1ED377-59F1-4A01-BC33-0B03BCA7BC21}">
  <ds:schemaRefs/>
</ds:datastoreItem>
</file>

<file path=docProps/app.xml><?xml version="1.0" encoding="utf-8"?>
<Properties xmlns="http://schemas.openxmlformats.org/officeDocument/2006/extended-properties" xmlns:vt="http://schemas.openxmlformats.org/officeDocument/2006/docPropsVTypes">
  <Template>Normal</Template>
  <Pages>13</Pages>
  <Words>1109</Words>
  <Characters>1200</Characters>
  <Lines>439</Lines>
  <Paragraphs>492</Paragraphs>
  <TotalTime>1</TotalTime>
  <ScaleCrop>false</ScaleCrop>
  <LinksUpToDate>false</LinksUpToDate>
  <CharactersWithSpaces>1268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2018-10-22T02:49:00Z</dcterms:created>
  <dc:creator>Xhyu 向洪玉</dc:creator>
  <cp:lastModifiedBy>ZR</cp:lastModifiedBy>
  <cp:lastPrinted>2018-11-14T02:33:00Z</cp:lastPrinted>
  <dcterms:modified xsi:type="dcterms:W3CDTF">2025-08-11T03:50:33Z</dcterms:modified>
  <cp:revision>985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eyJoZGlkIjoiZWMxMmFlMmFiNTY2MDZmNDM5YjJmNmJlYTZjZjg2MjMiLCJ1c2VySWQiOiI2NDQzMzYzMzQifQ==</vt:lpwstr>
  </property>
  <property fmtid="{D5CDD505-2E9C-101B-9397-08002B2CF9AE}" pid="3" name="KSOProductBuildVer">
    <vt:lpwstr>2052-12.1.0.21915</vt:lpwstr>
  </property>
  <property fmtid="{D5CDD505-2E9C-101B-9397-08002B2CF9AE}" pid="4" name="ICV">
    <vt:lpwstr>8903C3B90734414A92BD45145B24D500_12</vt:lpwstr>
  </property>
</Properties>
</file>